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3263F" w14:textId="77777777" w:rsidR="00E5431C" w:rsidRDefault="006F78D9" w:rsidP="00545CE7">
      <w:pPr>
        <w:spacing w:after="0" w:line="240" w:lineRule="auto"/>
        <w:rPr>
          <w:rFonts w:ascii="Arial" w:hAnsi="Arial"/>
          <w:lang w:val="es-AR"/>
        </w:rPr>
      </w:pPr>
      <w:r>
        <w:rPr>
          <w:rFonts w:ascii="Arial" w:hAnsi="Arial"/>
          <w:lang w:val="es-AR"/>
        </w:rPr>
        <w:tab/>
      </w:r>
      <w:r w:rsidR="007E106C">
        <w:rPr>
          <w:rFonts w:ascii="Arial" w:hAnsi="Arial"/>
          <w:lang w:val="es-AR"/>
        </w:rPr>
        <w:tab/>
      </w:r>
      <w:r w:rsidR="00D07C58">
        <w:rPr>
          <w:rFonts w:ascii="Arial" w:hAnsi="Arial"/>
          <w:lang w:val="es-AR"/>
        </w:rPr>
        <w:t xml:space="preserve">   </w:t>
      </w:r>
      <w:r w:rsidR="006B2EEE">
        <w:rPr>
          <w:rFonts w:ascii="Arial" w:hAnsi="Arial"/>
          <w:lang w:val="es-AR"/>
        </w:rPr>
        <w:t xml:space="preserve">  </w:t>
      </w:r>
      <w:r w:rsidR="006A7701">
        <w:rPr>
          <w:rFonts w:ascii="Arial" w:hAnsi="Arial"/>
          <w:lang w:val="es-AR"/>
        </w:rPr>
        <w:t xml:space="preserve">    </w:t>
      </w:r>
    </w:p>
    <w:p w14:paraId="3E8F09AA" w14:textId="77777777" w:rsidR="00A93068" w:rsidRDefault="004D3E6F" w:rsidP="00545CE7">
      <w:pPr>
        <w:spacing w:after="0" w:line="240" w:lineRule="auto"/>
        <w:rPr>
          <w:rFonts w:ascii="Arial" w:hAnsi="Arial"/>
          <w:lang w:val="es-AR"/>
        </w:rPr>
      </w:pPr>
      <w:r>
        <w:rPr>
          <w:rFonts w:ascii="Arial" w:hAnsi="Arial"/>
          <w:lang w:val="es-AR"/>
        </w:rPr>
        <w:t xml:space="preserve">  </w:t>
      </w:r>
    </w:p>
    <w:p w14:paraId="1072A33D" w14:textId="77777777" w:rsidR="00F5784D" w:rsidRDefault="00F5784D" w:rsidP="005445CE">
      <w:pPr>
        <w:ind w:left="2835" w:right="-465"/>
        <w:rPr>
          <w:rFonts w:ascii="Arial" w:hAnsi="Arial"/>
          <w:lang w:val="es-AR"/>
        </w:rPr>
      </w:pPr>
    </w:p>
    <w:p w14:paraId="18ED24E4" w14:textId="77777777" w:rsidR="00F5784D" w:rsidRPr="00C931E6" w:rsidRDefault="00F5784D" w:rsidP="00F5784D">
      <w:pPr>
        <w:pStyle w:val="Subtitle"/>
        <w:tabs>
          <w:tab w:val="center" w:pos="5245"/>
          <w:tab w:val="left" w:pos="5925"/>
        </w:tabs>
        <w:rPr>
          <w:b/>
          <w:sz w:val="52"/>
          <w:szCs w:val="52"/>
          <w:lang w:val="es-AR"/>
        </w:rPr>
      </w:pPr>
    </w:p>
    <w:p w14:paraId="5CAD0E7A" w14:textId="77777777" w:rsidR="00F5784D" w:rsidRPr="001F09F0" w:rsidRDefault="00F5784D" w:rsidP="00F5784D">
      <w:pPr>
        <w:pStyle w:val="Subtitle"/>
        <w:tabs>
          <w:tab w:val="center" w:pos="5245"/>
          <w:tab w:val="left" w:pos="5925"/>
        </w:tabs>
        <w:rPr>
          <w:b/>
          <w:sz w:val="52"/>
          <w:szCs w:val="52"/>
        </w:rPr>
      </w:pPr>
    </w:p>
    <w:p w14:paraId="76113B61" w14:textId="77777777" w:rsidR="009C745F" w:rsidRDefault="009C745F" w:rsidP="00F5784D">
      <w:pPr>
        <w:pStyle w:val="Subtitle"/>
        <w:tabs>
          <w:tab w:val="center" w:pos="5245"/>
          <w:tab w:val="left" w:pos="5925"/>
        </w:tabs>
        <w:rPr>
          <w:b/>
          <w:sz w:val="52"/>
          <w:szCs w:val="52"/>
        </w:rPr>
      </w:pPr>
    </w:p>
    <w:p w14:paraId="0E1FE902" w14:textId="77777777" w:rsidR="009C745F" w:rsidRDefault="009C745F" w:rsidP="00F5784D">
      <w:pPr>
        <w:pStyle w:val="Subtitle"/>
        <w:tabs>
          <w:tab w:val="center" w:pos="5245"/>
          <w:tab w:val="left" w:pos="5925"/>
        </w:tabs>
        <w:rPr>
          <w:b/>
          <w:sz w:val="52"/>
          <w:szCs w:val="52"/>
        </w:rPr>
      </w:pPr>
    </w:p>
    <w:p w14:paraId="793AB36F" w14:textId="77777777" w:rsidR="00C11695" w:rsidRPr="001F09F0" w:rsidRDefault="00C11695" w:rsidP="00EE189B">
      <w:pPr>
        <w:pStyle w:val="Subtitle"/>
        <w:tabs>
          <w:tab w:val="center" w:pos="5245"/>
          <w:tab w:val="left" w:pos="5925"/>
        </w:tabs>
        <w:outlineLvl w:val="9"/>
        <w:rPr>
          <w:b/>
          <w:sz w:val="96"/>
          <w:szCs w:val="52"/>
        </w:rPr>
      </w:pPr>
      <w:bookmarkStart w:id="0" w:name="_Toc291092373"/>
      <w:bookmarkStart w:id="1" w:name="_Toc291092452"/>
      <w:bookmarkStart w:id="2" w:name="_Toc291092561"/>
      <w:bookmarkStart w:id="3" w:name="_Toc291780401"/>
      <w:bookmarkStart w:id="4" w:name="_Toc292125500"/>
      <w:bookmarkStart w:id="5" w:name="_Toc292125676"/>
      <w:bookmarkStart w:id="6" w:name="_Toc318798488"/>
      <w:bookmarkStart w:id="7" w:name="_Toc318966966"/>
      <w:bookmarkStart w:id="8" w:name="_Toc329350657"/>
      <w:bookmarkStart w:id="9" w:name="_Toc329350943"/>
      <w:bookmarkStart w:id="10" w:name="_Toc329351044"/>
      <w:bookmarkStart w:id="11" w:name="_Toc330546724"/>
      <w:bookmarkStart w:id="12" w:name="_Toc330912823"/>
      <w:bookmarkStart w:id="13" w:name="_Toc331003940"/>
      <w:r w:rsidRPr="001F09F0">
        <w:rPr>
          <w:b/>
          <w:sz w:val="96"/>
          <w:szCs w:val="52"/>
        </w:rPr>
        <w:t>YPF S</w:t>
      </w:r>
      <w:r>
        <w:rPr>
          <w:b/>
          <w:sz w:val="96"/>
          <w:szCs w:val="52"/>
        </w:rPr>
        <w:t>.</w:t>
      </w:r>
      <w:r w:rsidRPr="001F09F0">
        <w:rPr>
          <w:b/>
          <w:sz w:val="96"/>
          <w:szCs w:val="52"/>
        </w:rPr>
        <w:t>A</w:t>
      </w:r>
      <w:r>
        <w:rPr>
          <w:b/>
          <w:sz w:val="96"/>
          <w:szCs w:val="52"/>
        </w:rPr>
        <w:t>.</w:t>
      </w:r>
      <w:bookmarkEnd w:id="0"/>
      <w:bookmarkEnd w:id="1"/>
      <w:bookmarkEnd w:id="2"/>
      <w:bookmarkEnd w:id="3"/>
      <w:bookmarkEnd w:id="4"/>
      <w:bookmarkEnd w:id="5"/>
      <w:bookmarkEnd w:id="6"/>
      <w:bookmarkEnd w:id="7"/>
      <w:bookmarkEnd w:id="8"/>
      <w:bookmarkEnd w:id="9"/>
      <w:bookmarkEnd w:id="10"/>
      <w:bookmarkEnd w:id="11"/>
      <w:bookmarkEnd w:id="12"/>
      <w:bookmarkEnd w:id="13"/>
    </w:p>
    <w:p w14:paraId="5C02B4FD" w14:textId="77777777" w:rsidR="00F5784D" w:rsidRPr="001F09F0" w:rsidRDefault="00F5784D" w:rsidP="00EE189B">
      <w:pPr>
        <w:pStyle w:val="Subtitle"/>
        <w:tabs>
          <w:tab w:val="center" w:pos="5245"/>
          <w:tab w:val="left" w:pos="5925"/>
        </w:tabs>
        <w:outlineLvl w:val="9"/>
        <w:rPr>
          <w:b/>
          <w:sz w:val="52"/>
          <w:szCs w:val="52"/>
        </w:rPr>
      </w:pPr>
      <w:bookmarkStart w:id="14" w:name="_Toc291092374"/>
      <w:bookmarkStart w:id="15" w:name="_Toc291092453"/>
      <w:bookmarkStart w:id="16" w:name="_Toc291092562"/>
      <w:bookmarkStart w:id="17" w:name="_Toc291780402"/>
      <w:bookmarkStart w:id="18" w:name="_Toc292125501"/>
      <w:bookmarkStart w:id="19" w:name="_Toc292125677"/>
      <w:bookmarkStart w:id="20" w:name="_Toc318798489"/>
      <w:bookmarkStart w:id="21" w:name="_Toc318966967"/>
      <w:bookmarkStart w:id="22" w:name="_Toc329350658"/>
      <w:bookmarkStart w:id="23" w:name="_Toc329350944"/>
      <w:bookmarkStart w:id="24" w:name="_Toc329351045"/>
      <w:bookmarkStart w:id="25" w:name="_Toc330546725"/>
      <w:bookmarkStart w:id="26" w:name="_Toc330912824"/>
      <w:bookmarkStart w:id="27" w:name="_Toc331003941"/>
      <w:r w:rsidRPr="001F09F0">
        <w:rPr>
          <w:b/>
          <w:sz w:val="52"/>
          <w:szCs w:val="52"/>
        </w:rPr>
        <w:t xml:space="preserve">Resultados </w:t>
      </w:r>
      <w:r w:rsidR="00C11695" w:rsidRPr="001F09F0">
        <w:rPr>
          <w:b/>
          <w:sz w:val="52"/>
          <w:szCs w:val="52"/>
        </w:rPr>
        <w:t>Consolidado</w:t>
      </w:r>
      <w:r w:rsidR="00C11695">
        <w:rPr>
          <w:b/>
          <w:sz w:val="52"/>
          <w:szCs w:val="52"/>
        </w:rPr>
        <w:t>s</w:t>
      </w:r>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6EE63DED" w14:textId="2DD71A64" w:rsidR="00A21605" w:rsidRPr="001F09F0" w:rsidRDefault="00966ADD" w:rsidP="00A21605">
      <w:pPr>
        <w:pStyle w:val="Subtitle"/>
        <w:tabs>
          <w:tab w:val="center" w:pos="5245"/>
          <w:tab w:val="left" w:pos="5925"/>
        </w:tabs>
        <w:outlineLvl w:val="9"/>
        <w:rPr>
          <w:b/>
          <w:sz w:val="52"/>
          <w:szCs w:val="52"/>
        </w:rPr>
      </w:pPr>
      <w:bookmarkStart w:id="28" w:name="_Toc291092375"/>
      <w:bookmarkStart w:id="29" w:name="_Toc291092454"/>
      <w:bookmarkStart w:id="30" w:name="_Toc291092563"/>
      <w:bookmarkStart w:id="31" w:name="_Toc291780403"/>
      <w:bookmarkStart w:id="32" w:name="_Toc292125502"/>
      <w:bookmarkStart w:id="33" w:name="_Toc292125678"/>
      <w:bookmarkStart w:id="34" w:name="_Toc318798490"/>
      <w:bookmarkStart w:id="35" w:name="_Toc318966968"/>
      <w:bookmarkStart w:id="36" w:name="_Toc329350659"/>
      <w:bookmarkStart w:id="37" w:name="_Toc329350945"/>
      <w:bookmarkStart w:id="38" w:name="_Toc329351046"/>
      <w:bookmarkStart w:id="39" w:name="_Toc330546726"/>
      <w:bookmarkStart w:id="40" w:name="_Toc330912825"/>
      <w:bookmarkStart w:id="41" w:name="_Toc331003942"/>
      <w:bookmarkStart w:id="42" w:name="_Toc331513966"/>
      <w:bookmarkStart w:id="43" w:name="_Toc331516247"/>
      <w:bookmarkStart w:id="44" w:name="_Toc331782318"/>
      <w:bookmarkStart w:id="45" w:name="_Toc332016533"/>
      <w:bookmarkStart w:id="46" w:name="_Toc332203223"/>
      <w:bookmarkStart w:id="47" w:name="_Toc332360088"/>
      <w:bookmarkStart w:id="48" w:name="_Toc332360781"/>
      <w:bookmarkStart w:id="49" w:name="_Toc339009969"/>
      <w:bookmarkStart w:id="50" w:name="_Toc339010012"/>
      <w:r>
        <w:rPr>
          <w:b/>
          <w:sz w:val="52"/>
          <w:szCs w:val="52"/>
        </w:rPr>
        <w:t>2</w:t>
      </w:r>
      <w:r w:rsidR="00CB43B2">
        <w:rPr>
          <w:b/>
          <w:sz w:val="52"/>
          <w:szCs w:val="52"/>
        </w:rPr>
        <w:t xml:space="preserve">T </w:t>
      </w:r>
      <w:r w:rsidR="00A21605">
        <w:rPr>
          <w:b/>
          <w:sz w:val="52"/>
          <w:szCs w:val="52"/>
        </w:rPr>
        <w:t>201</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00CB43B2">
        <w:rPr>
          <w:b/>
          <w:sz w:val="52"/>
          <w:szCs w:val="52"/>
        </w:rPr>
        <w:t>9</w:t>
      </w:r>
    </w:p>
    <w:p w14:paraId="11E29C25" w14:textId="77777777" w:rsidR="008E7B7E" w:rsidRDefault="008E7B7E" w:rsidP="00A21605">
      <w:pPr>
        <w:pStyle w:val="Subtitle"/>
        <w:tabs>
          <w:tab w:val="center" w:pos="5245"/>
          <w:tab w:val="left" w:pos="5925"/>
        </w:tabs>
        <w:jc w:val="left"/>
        <w:rPr>
          <w:b/>
          <w:sz w:val="96"/>
          <w:szCs w:val="52"/>
        </w:rPr>
      </w:pPr>
    </w:p>
    <w:p w14:paraId="3D8CF269" w14:textId="77777777" w:rsidR="00F5784D" w:rsidRPr="001F09F0" w:rsidRDefault="00F5784D" w:rsidP="00F5784D">
      <w:pPr>
        <w:pStyle w:val="Subtitle"/>
        <w:tabs>
          <w:tab w:val="center" w:pos="5245"/>
          <w:tab w:val="left" w:pos="5925"/>
        </w:tabs>
        <w:rPr>
          <w:b/>
          <w:sz w:val="96"/>
          <w:szCs w:val="52"/>
        </w:rPr>
      </w:pPr>
    </w:p>
    <w:p w14:paraId="633C7E1C" w14:textId="77777777" w:rsidR="000325A5" w:rsidRDefault="000325A5" w:rsidP="00F5784D">
      <w:pPr>
        <w:pStyle w:val="Subtitle"/>
        <w:tabs>
          <w:tab w:val="center" w:pos="5245"/>
          <w:tab w:val="left" w:pos="5925"/>
        </w:tabs>
        <w:rPr>
          <w:b/>
          <w:color w:val="000080"/>
          <w:sz w:val="96"/>
          <w:szCs w:val="52"/>
        </w:rPr>
      </w:pPr>
    </w:p>
    <w:p w14:paraId="22BEDB74" w14:textId="77777777" w:rsidR="000325A5" w:rsidRPr="000325A5" w:rsidRDefault="000325A5" w:rsidP="000325A5">
      <w:pPr>
        <w:rPr>
          <w:lang w:val="es-ES_tradnl"/>
        </w:rPr>
      </w:pPr>
    </w:p>
    <w:p w14:paraId="0EF5BE78" w14:textId="77777777" w:rsidR="000325A5" w:rsidRPr="000325A5" w:rsidRDefault="000325A5" w:rsidP="000325A5">
      <w:pPr>
        <w:rPr>
          <w:lang w:val="es-ES_tradnl"/>
        </w:rPr>
      </w:pPr>
    </w:p>
    <w:p w14:paraId="0498C675" w14:textId="77777777" w:rsidR="000325A5" w:rsidRPr="000325A5" w:rsidRDefault="000325A5" w:rsidP="000325A5">
      <w:pPr>
        <w:rPr>
          <w:lang w:val="es-ES_tradnl"/>
        </w:rPr>
      </w:pPr>
    </w:p>
    <w:p w14:paraId="74022734" w14:textId="77777777" w:rsidR="000325A5" w:rsidRPr="000325A5" w:rsidRDefault="000325A5" w:rsidP="000325A5">
      <w:pPr>
        <w:rPr>
          <w:lang w:val="es-ES_tradnl"/>
        </w:rPr>
      </w:pPr>
    </w:p>
    <w:p w14:paraId="11A6F8A5" w14:textId="77777777" w:rsidR="000325A5" w:rsidRDefault="000325A5" w:rsidP="00F5784D">
      <w:pPr>
        <w:pStyle w:val="Subtitle"/>
        <w:tabs>
          <w:tab w:val="center" w:pos="5245"/>
          <w:tab w:val="left" w:pos="5925"/>
        </w:tabs>
      </w:pPr>
    </w:p>
    <w:p w14:paraId="4D9D8411" w14:textId="77777777" w:rsidR="000325A5" w:rsidRDefault="000325A5" w:rsidP="00F5784D">
      <w:pPr>
        <w:pStyle w:val="Subtitle"/>
        <w:tabs>
          <w:tab w:val="center" w:pos="5245"/>
          <w:tab w:val="left" w:pos="5925"/>
        </w:tabs>
      </w:pPr>
    </w:p>
    <w:p w14:paraId="2EE06DDF" w14:textId="77777777" w:rsidR="000325A5" w:rsidRDefault="000325A5" w:rsidP="00F5784D">
      <w:pPr>
        <w:pStyle w:val="Subtitle"/>
        <w:tabs>
          <w:tab w:val="center" w:pos="5245"/>
          <w:tab w:val="left" w:pos="5925"/>
        </w:tabs>
      </w:pPr>
    </w:p>
    <w:p w14:paraId="72E3DADA" w14:textId="77777777" w:rsidR="00EE189B" w:rsidRPr="004D3F4B" w:rsidRDefault="00EE189B" w:rsidP="004D3F4B">
      <w:pPr>
        <w:spacing w:after="0" w:line="240" w:lineRule="auto"/>
        <w:rPr>
          <w:rFonts w:ascii="Cambria" w:eastAsia="Times New Roman" w:hAnsi="Cambria"/>
          <w:b/>
          <w:bCs/>
          <w:color w:val="365F91"/>
          <w:sz w:val="28"/>
          <w:szCs w:val="28"/>
          <w:lang w:val="es-ES"/>
        </w:rPr>
      </w:pPr>
    </w:p>
    <w:p w14:paraId="2A4FCB0B" w14:textId="709565BC" w:rsidR="00EE189B" w:rsidRDefault="004D3F4B" w:rsidP="00EE189B">
      <w:pPr>
        <w:pStyle w:val="Subtitle"/>
        <w:tabs>
          <w:tab w:val="center" w:pos="5245"/>
          <w:tab w:val="left" w:pos="5925"/>
        </w:tabs>
        <w:outlineLvl w:val="9"/>
      </w:pPr>
      <w:bookmarkStart w:id="51" w:name="_Toc292125679"/>
      <w:bookmarkStart w:id="52" w:name="_Toc292125503"/>
      <w:bookmarkStart w:id="53" w:name="_Toc291780404"/>
      <w:bookmarkStart w:id="54" w:name="_Toc318798491"/>
      <w:r>
        <w:rPr>
          <w:b/>
        </w:rPr>
        <w:br w:type="page"/>
      </w:r>
      <w:bookmarkStart w:id="55" w:name="_Toc318966969"/>
      <w:bookmarkStart w:id="56" w:name="_Toc329350660"/>
      <w:bookmarkStart w:id="57" w:name="_Toc329350946"/>
      <w:bookmarkStart w:id="58" w:name="_Toc329351047"/>
      <w:bookmarkStart w:id="59" w:name="_Toc330546727"/>
      <w:bookmarkStart w:id="60" w:name="_Toc330912826"/>
      <w:bookmarkStart w:id="61" w:name="_Toc331003943"/>
      <w:r w:rsidR="00FF095F">
        <w:rPr>
          <w:b/>
        </w:rPr>
        <w:lastRenderedPageBreak/>
        <w:t>Í</w:t>
      </w:r>
      <w:r w:rsidR="00EE189B">
        <w:rPr>
          <w:b/>
        </w:rPr>
        <w:t>NDICE</w:t>
      </w:r>
      <w:bookmarkEnd w:id="51"/>
      <w:bookmarkEnd w:id="52"/>
      <w:bookmarkEnd w:id="53"/>
      <w:bookmarkEnd w:id="54"/>
      <w:bookmarkEnd w:id="55"/>
      <w:bookmarkEnd w:id="56"/>
      <w:bookmarkEnd w:id="57"/>
      <w:bookmarkEnd w:id="58"/>
      <w:bookmarkEnd w:id="59"/>
      <w:bookmarkEnd w:id="60"/>
      <w:bookmarkEnd w:id="61"/>
    </w:p>
    <w:p w14:paraId="522D238F" w14:textId="77777777" w:rsidR="004A4EBB" w:rsidRDefault="00AF313A" w:rsidP="004A4EBB">
      <w:pPr>
        <w:rPr>
          <w:rFonts w:ascii="Arial" w:hAnsi="Arial" w:cs="Arial"/>
          <w:b/>
          <w:noProof/>
          <w:sz w:val="20"/>
          <w:szCs w:val="20"/>
          <w:lang w:val="es-AR"/>
        </w:rPr>
      </w:pPr>
      <w:r w:rsidRPr="001E13B9">
        <w:rPr>
          <w:rFonts w:ascii="Arial" w:hAnsi="Arial" w:cs="Arial"/>
          <w:sz w:val="20"/>
          <w:lang w:val="es-ES"/>
        </w:rPr>
        <w:fldChar w:fldCharType="begin"/>
      </w:r>
      <w:r w:rsidR="00EE189B" w:rsidRPr="001E13B9">
        <w:rPr>
          <w:rFonts w:ascii="Arial" w:hAnsi="Arial" w:cs="Arial"/>
          <w:sz w:val="20"/>
          <w:lang w:val="es-ES"/>
        </w:rPr>
        <w:instrText xml:space="preserve"> TOC \o "1-3" \h \z \u </w:instrText>
      </w:r>
      <w:r w:rsidRPr="001E13B9">
        <w:rPr>
          <w:rFonts w:ascii="Arial" w:hAnsi="Arial" w:cs="Arial"/>
          <w:sz w:val="20"/>
          <w:lang w:val="es-ES"/>
        </w:rPr>
        <w:fldChar w:fldCharType="separate"/>
      </w:r>
    </w:p>
    <w:p w14:paraId="28BA187E" w14:textId="57A58346" w:rsidR="004A4EBB" w:rsidRPr="00D54ABD" w:rsidRDefault="000725C7" w:rsidP="004A4EBB">
      <w:pPr>
        <w:pStyle w:val="TOC1"/>
        <w:rPr>
          <w:rFonts w:eastAsia="Times New Roman"/>
          <w:lang w:eastAsia="es-AR"/>
        </w:rPr>
      </w:pPr>
      <w:hyperlink w:anchor="_Toc331003944" w:history="1">
        <w:r w:rsidR="004A4EBB" w:rsidRPr="00D54ABD">
          <w:rPr>
            <w:rStyle w:val="Hyperlink"/>
          </w:rPr>
          <w:t xml:space="preserve">1. PRINCIPALES HITOS Y MAGNITUDES </w:t>
        </w:r>
        <w:r w:rsidR="00966ADD">
          <w:rPr>
            <w:rStyle w:val="Hyperlink"/>
          </w:rPr>
          <w:t>ECONÓMICAS DEL SEGUNDO</w:t>
        </w:r>
        <w:r w:rsidR="00CB43B2">
          <w:rPr>
            <w:rStyle w:val="Hyperlink"/>
          </w:rPr>
          <w:t xml:space="preserve"> </w:t>
        </w:r>
        <w:r w:rsidR="004A4EBB" w:rsidRPr="00D54ABD">
          <w:rPr>
            <w:rStyle w:val="Hyperlink"/>
          </w:rPr>
          <w:t>TRIMESTRE DE 201</w:t>
        </w:r>
        <w:r w:rsidR="00CB43B2">
          <w:rPr>
            <w:rStyle w:val="Hyperlink"/>
          </w:rPr>
          <w:t>9</w:t>
        </w:r>
        <w:r w:rsidR="004A4EBB" w:rsidRPr="00D54ABD">
          <w:rPr>
            <w:webHidden/>
          </w:rPr>
          <w:tab/>
        </w:r>
        <w:r w:rsidR="00202658">
          <w:rPr>
            <w:webHidden/>
          </w:rPr>
          <w:t>3</w:t>
        </w:r>
      </w:hyperlink>
    </w:p>
    <w:p w14:paraId="064A50B3" w14:textId="5C6BDB40" w:rsidR="004A4EBB" w:rsidRPr="00D54ABD" w:rsidRDefault="000725C7" w:rsidP="004A4EBB">
      <w:pPr>
        <w:pStyle w:val="TOC1"/>
        <w:rPr>
          <w:rFonts w:eastAsia="Times New Roman"/>
          <w:lang w:eastAsia="es-AR"/>
        </w:rPr>
      </w:pPr>
      <w:hyperlink w:anchor="_Toc331003944" w:history="1">
        <w:r w:rsidR="004A4EBB">
          <w:rPr>
            <w:rStyle w:val="Hyperlink"/>
          </w:rPr>
          <w:t>2</w:t>
        </w:r>
        <w:r w:rsidR="004A4EBB" w:rsidRPr="00D54ABD">
          <w:rPr>
            <w:rStyle w:val="Hyperlink"/>
          </w:rPr>
          <w:t xml:space="preserve">. </w:t>
        </w:r>
        <w:r w:rsidR="004A4EBB">
          <w:rPr>
            <w:rStyle w:val="Hyperlink"/>
          </w:rPr>
          <w:t>AN</w:t>
        </w:r>
        <w:r w:rsidR="006842C1">
          <w:rPr>
            <w:rStyle w:val="Hyperlink"/>
          </w:rPr>
          <w:t>Á</w:t>
        </w:r>
        <w:r w:rsidR="004A4EBB">
          <w:rPr>
            <w:rStyle w:val="Hyperlink"/>
          </w:rPr>
          <w:t xml:space="preserve">LISIS DE RESULTADOS DEL </w:t>
        </w:r>
        <w:r w:rsidR="00966ADD">
          <w:rPr>
            <w:rStyle w:val="Hyperlink"/>
          </w:rPr>
          <w:t>SEGUNDO</w:t>
        </w:r>
        <w:r w:rsidR="00CB43B2">
          <w:rPr>
            <w:rStyle w:val="Hyperlink"/>
          </w:rPr>
          <w:t xml:space="preserve"> </w:t>
        </w:r>
        <w:r w:rsidR="004A4EBB">
          <w:rPr>
            <w:rStyle w:val="Hyperlink"/>
          </w:rPr>
          <w:t xml:space="preserve">TRIMESTRE </w:t>
        </w:r>
        <w:r w:rsidR="00CB43B2">
          <w:rPr>
            <w:rStyle w:val="Hyperlink"/>
          </w:rPr>
          <w:t xml:space="preserve">DE </w:t>
        </w:r>
        <w:r w:rsidR="004A4EBB">
          <w:rPr>
            <w:rStyle w:val="Hyperlink"/>
          </w:rPr>
          <w:t>201</w:t>
        </w:r>
        <w:r w:rsidR="00CB43B2">
          <w:rPr>
            <w:rStyle w:val="Hyperlink"/>
          </w:rPr>
          <w:t>9</w:t>
        </w:r>
        <w:r w:rsidR="004A4EBB" w:rsidRPr="00D54ABD">
          <w:rPr>
            <w:webHidden/>
          </w:rPr>
          <w:tab/>
        </w:r>
        <w:r w:rsidR="004A4EBB">
          <w:rPr>
            <w:webHidden/>
          </w:rPr>
          <w:t>4</w:t>
        </w:r>
      </w:hyperlink>
    </w:p>
    <w:p w14:paraId="45712741" w14:textId="28C6CF99" w:rsidR="004A4EBB" w:rsidRPr="00D54ABD" w:rsidRDefault="000725C7" w:rsidP="004A4EBB">
      <w:pPr>
        <w:pStyle w:val="TOC1"/>
        <w:rPr>
          <w:rFonts w:eastAsia="Times New Roman"/>
          <w:lang w:eastAsia="es-AR"/>
        </w:rPr>
      </w:pPr>
      <w:hyperlink w:anchor="_Toc331003945" w:history="1">
        <w:r w:rsidR="004A4EBB">
          <w:rPr>
            <w:rStyle w:val="Hyperlink"/>
          </w:rPr>
          <w:t>3</w:t>
        </w:r>
        <w:r w:rsidR="004A4EBB" w:rsidRPr="00D54ABD">
          <w:rPr>
            <w:rStyle w:val="Hyperlink"/>
          </w:rPr>
          <w:t>. A</w:t>
        </w:r>
        <w:r w:rsidR="00CB43B2">
          <w:rPr>
            <w:rStyle w:val="Hyperlink"/>
          </w:rPr>
          <w:t>NÁLISIS DE R</w:t>
        </w:r>
        <w:r w:rsidR="00966ADD">
          <w:rPr>
            <w:rStyle w:val="Hyperlink"/>
          </w:rPr>
          <w:t>ESULTADOS POR NEGOCIO DEL SEGUNDO</w:t>
        </w:r>
        <w:r w:rsidR="00CB43B2">
          <w:rPr>
            <w:rStyle w:val="Hyperlink"/>
          </w:rPr>
          <w:t xml:space="preserve"> TRIMESTRE DE 2019</w:t>
        </w:r>
        <w:r w:rsidR="004A4EBB" w:rsidRPr="00D54ABD">
          <w:rPr>
            <w:webHidden/>
          </w:rPr>
          <w:tab/>
        </w:r>
      </w:hyperlink>
      <w:r w:rsidR="00960515">
        <w:t>7</w:t>
      </w:r>
    </w:p>
    <w:p w14:paraId="20FBB2CB" w14:textId="6E16F2DA" w:rsidR="004A4EBB" w:rsidRPr="00D54ABD" w:rsidRDefault="000725C7" w:rsidP="003111EB">
      <w:pPr>
        <w:pStyle w:val="TOC2"/>
        <w:rPr>
          <w:rFonts w:eastAsia="Times New Roman"/>
          <w:lang w:val="es-AR" w:eastAsia="es-AR"/>
        </w:rPr>
      </w:pPr>
      <w:hyperlink w:anchor="_Toc331003946" w:history="1">
        <w:r w:rsidR="004A4EBB">
          <w:rPr>
            <w:rStyle w:val="Hyperlink"/>
            <w:lang w:val="es-AR"/>
          </w:rPr>
          <w:t>3</w:t>
        </w:r>
        <w:r w:rsidR="004A4EBB" w:rsidRPr="00D54ABD">
          <w:rPr>
            <w:rStyle w:val="Hyperlink"/>
            <w:lang w:val="es-AR"/>
          </w:rPr>
          <w:t>.1  UPSTREAM</w:t>
        </w:r>
        <w:r w:rsidR="004A4EBB" w:rsidRPr="00D54ABD">
          <w:rPr>
            <w:webHidden/>
            <w:lang w:val="es-AR"/>
          </w:rPr>
          <w:tab/>
        </w:r>
      </w:hyperlink>
      <w:r w:rsidR="00960515">
        <w:rPr>
          <w:lang w:val="es-AR"/>
        </w:rPr>
        <w:t>7</w:t>
      </w:r>
    </w:p>
    <w:p w14:paraId="2F512D7D" w14:textId="016F7FF9" w:rsidR="004A4EBB" w:rsidRPr="00D54ABD" w:rsidRDefault="000725C7" w:rsidP="003111EB">
      <w:pPr>
        <w:pStyle w:val="TOC2"/>
        <w:rPr>
          <w:rFonts w:eastAsia="Times New Roman"/>
          <w:lang w:val="es-AR" w:eastAsia="es-AR"/>
        </w:rPr>
      </w:pPr>
      <w:hyperlink w:anchor="_Toc331003947" w:history="1">
        <w:r w:rsidR="004A4EBB">
          <w:rPr>
            <w:rStyle w:val="Hyperlink"/>
            <w:lang w:val="es-AR"/>
          </w:rPr>
          <w:t>3</w:t>
        </w:r>
        <w:r w:rsidR="004A4EBB" w:rsidRPr="00D54ABD">
          <w:rPr>
            <w:rStyle w:val="Hyperlink"/>
            <w:lang w:val="es-AR"/>
          </w:rPr>
          <w:t>.2  DOWNSTREAM</w:t>
        </w:r>
        <w:r w:rsidR="004A4EBB" w:rsidRPr="00D54ABD">
          <w:rPr>
            <w:webHidden/>
            <w:lang w:val="es-AR"/>
          </w:rPr>
          <w:tab/>
        </w:r>
      </w:hyperlink>
      <w:r w:rsidR="00340331">
        <w:rPr>
          <w:lang w:val="es-AR"/>
        </w:rPr>
        <w:t>1</w:t>
      </w:r>
      <w:r w:rsidR="00960515">
        <w:rPr>
          <w:lang w:val="es-AR"/>
        </w:rPr>
        <w:t>1</w:t>
      </w:r>
    </w:p>
    <w:p w14:paraId="5B00CF2E" w14:textId="2D8D20CA" w:rsidR="0006614E" w:rsidRDefault="000725C7" w:rsidP="0006614E">
      <w:pPr>
        <w:pStyle w:val="TOC2"/>
      </w:pPr>
      <w:hyperlink w:anchor="_Toc331003947" w:history="1">
        <w:r w:rsidR="0006614E">
          <w:rPr>
            <w:rStyle w:val="Hyperlink"/>
            <w:lang w:val="es-AR"/>
          </w:rPr>
          <w:t>3</w:t>
        </w:r>
        <w:r w:rsidR="0006614E" w:rsidRPr="00D54ABD">
          <w:rPr>
            <w:rStyle w:val="Hyperlink"/>
            <w:lang w:val="es-AR"/>
          </w:rPr>
          <w:t>.</w:t>
        </w:r>
        <w:r w:rsidR="0006614E">
          <w:rPr>
            <w:rStyle w:val="Hyperlink"/>
            <w:lang w:val="es-AR"/>
          </w:rPr>
          <w:t>3</w:t>
        </w:r>
        <w:r w:rsidR="0006614E" w:rsidRPr="00D54ABD">
          <w:rPr>
            <w:rStyle w:val="Hyperlink"/>
            <w:lang w:val="es-AR"/>
          </w:rPr>
          <w:t xml:space="preserve">  </w:t>
        </w:r>
        <w:r w:rsidR="0006614E">
          <w:rPr>
            <w:rStyle w:val="Hyperlink"/>
            <w:lang w:val="es-AR"/>
          </w:rPr>
          <w:t>GAS Y ENERGÍA</w:t>
        </w:r>
        <w:r w:rsidR="0006614E" w:rsidRPr="00D54ABD">
          <w:rPr>
            <w:webHidden/>
            <w:lang w:val="es-AR"/>
          </w:rPr>
          <w:tab/>
        </w:r>
      </w:hyperlink>
      <w:r w:rsidR="001A0EBA">
        <w:rPr>
          <w:lang w:val="es-AR"/>
        </w:rPr>
        <w:t>1</w:t>
      </w:r>
      <w:r w:rsidR="00960515">
        <w:rPr>
          <w:lang w:val="es-AR"/>
        </w:rPr>
        <w:t>5</w:t>
      </w:r>
    </w:p>
    <w:p w14:paraId="49191032" w14:textId="1A2FBB1B" w:rsidR="004A4EBB" w:rsidRPr="00D54ABD" w:rsidRDefault="000725C7" w:rsidP="003111EB">
      <w:pPr>
        <w:pStyle w:val="TOC2"/>
        <w:rPr>
          <w:rStyle w:val="Hyperlink"/>
          <w:lang w:val="es-AR"/>
        </w:rPr>
      </w:pPr>
      <w:hyperlink w:anchor="_Toc331003948" w:history="1">
        <w:r w:rsidR="004A4EBB">
          <w:rPr>
            <w:rStyle w:val="Hyperlink"/>
            <w:lang w:val="es-AR"/>
          </w:rPr>
          <w:t>3</w:t>
        </w:r>
        <w:r w:rsidR="004A4EBB" w:rsidRPr="00D54ABD">
          <w:rPr>
            <w:rStyle w:val="Hyperlink"/>
            <w:lang w:val="es-AR"/>
          </w:rPr>
          <w:t>.</w:t>
        </w:r>
        <w:r w:rsidR="0006614E">
          <w:rPr>
            <w:rStyle w:val="Hyperlink"/>
            <w:lang w:val="es-AR"/>
          </w:rPr>
          <w:t>4</w:t>
        </w:r>
        <w:r w:rsidR="004A4EBB" w:rsidRPr="00D54ABD">
          <w:rPr>
            <w:rStyle w:val="Hyperlink"/>
            <w:lang w:val="es-AR"/>
          </w:rPr>
          <w:t xml:space="preserve">  CORPORACI</w:t>
        </w:r>
        <w:r w:rsidR="006842C1">
          <w:rPr>
            <w:rStyle w:val="Hyperlink"/>
            <w:lang w:val="es-AR"/>
          </w:rPr>
          <w:t>Ó</w:t>
        </w:r>
        <w:r w:rsidR="004A4EBB" w:rsidRPr="00D54ABD">
          <w:rPr>
            <w:rStyle w:val="Hyperlink"/>
            <w:lang w:val="es-AR"/>
          </w:rPr>
          <w:t>N</w:t>
        </w:r>
        <w:r w:rsidR="006842C1">
          <w:rPr>
            <w:rStyle w:val="Hyperlink"/>
            <w:lang w:val="es-AR"/>
          </w:rPr>
          <w:t xml:space="preserve"> Y OTROS</w:t>
        </w:r>
        <w:r w:rsidR="004A4EBB" w:rsidRPr="00D54ABD">
          <w:rPr>
            <w:webHidden/>
            <w:lang w:val="es-AR"/>
          </w:rPr>
          <w:tab/>
        </w:r>
      </w:hyperlink>
      <w:r w:rsidR="001A0EBA">
        <w:rPr>
          <w:lang w:val="es-AR"/>
        </w:rPr>
        <w:t>1</w:t>
      </w:r>
      <w:r w:rsidR="00A406A7">
        <w:rPr>
          <w:lang w:val="es-AR"/>
        </w:rPr>
        <w:t>7</w:t>
      </w:r>
    </w:p>
    <w:p w14:paraId="4C717ADD" w14:textId="3429B1FF" w:rsidR="004A4EBB" w:rsidRPr="00D54ABD" w:rsidRDefault="000725C7" w:rsidP="004A4EBB">
      <w:pPr>
        <w:pStyle w:val="TOC1"/>
        <w:rPr>
          <w:rFonts w:eastAsia="Times New Roman"/>
          <w:lang w:eastAsia="es-AR"/>
        </w:rPr>
      </w:pPr>
      <w:hyperlink w:anchor="_Toc331003950" w:history="1">
        <w:r w:rsidR="004A4EBB">
          <w:rPr>
            <w:rStyle w:val="Hyperlink"/>
          </w:rPr>
          <w:t>4</w:t>
        </w:r>
        <w:r w:rsidR="004A4EBB" w:rsidRPr="00D54ABD">
          <w:rPr>
            <w:rStyle w:val="Hyperlink"/>
          </w:rPr>
          <w:t>. LIQUIDEZ Y RECURSOS DE CAPITAL</w:t>
        </w:r>
        <w:r w:rsidR="004A4EBB" w:rsidRPr="00D54ABD">
          <w:rPr>
            <w:webHidden/>
          </w:rPr>
          <w:tab/>
        </w:r>
      </w:hyperlink>
      <w:r w:rsidR="001A0EBA">
        <w:t>1</w:t>
      </w:r>
      <w:r w:rsidR="00A406A7">
        <w:t>7</w:t>
      </w:r>
    </w:p>
    <w:p w14:paraId="38833E49" w14:textId="584EC2C7" w:rsidR="004A4EBB" w:rsidRPr="00D54ABD" w:rsidRDefault="000725C7" w:rsidP="004A4EBB">
      <w:pPr>
        <w:pStyle w:val="TOC1"/>
        <w:rPr>
          <w:rStyle w:val="Hyperlink"/>
          <w:b w:val="0"/>
          <w:color w:val="auto"/>
          <w:u w:val="none"/>
        </w:rPr>
      </w:pPr>
      <w:hyperlink w:anchor="_Toc331003950" w:history="1">
        <w:r w:rsidR="004A4EBB">
          <w:rPr>
            <w:rStyle w:val="Hyperlink"/>
          </w:rPr>
          <w:t>5</w:t>
        </w:r>
        <w:r w:rsidR="004A4EBB" w:rsidRPr="00D54ABD">
          <w:rPr>
            <w:rStyle w:val="Hyperlink"/>
          </w:rPr>
          <w:t>. TABLAS Y NOTAS</w:t>
        </w:r>
        <w:r w:rsidR="004A4EBB" w:rsidRPr="00D54ABD">
          <w:rPr>
            <w:webHidden/>
          </w:rPr>
          <w:tab/>
        </w:r>
      </w:hyperlink>
      <w:r w:rsidR="00A406A7">
        <w:t>19</w:t>
      </w:r>
    </w:p>
    <w:p w14:paraId="1DF953BC" w14:textId="60932D19" w:rsidR="004A4EBB" w:rsidRPr="00D54ABD" w:rsidRDefault="000725C7" w:rsidP="003111EB">
      <w:pPr>
        <w:pStyle w:val="TOC2"/>
        <w:rPr>
          <w:rFonts w:eastAsia="Times New Roman"/>
          <w:lang w:val="es-AR" w:eastAsia="es-AR"/>
        </w:rPr>
      </w:pPr>
      <w:hyperlink w:anchor="_Toc331003952" w:history="1">
        <w:r w:rsidR="004A4EBB">
          <w:rPr>
            <w:rStyle w:val="Hyperlink"/>
          </w:rPr>
          <w:t>5</w:t>
        </w:r>
        <w:r w:rsidR="004A4EBB" w:rsidRPr="00D54ABD">
          <w:rPr>
            <w:rStyle w:val="Hyperlink"/>
          </w:rPr>
          <w:t>.1 ESTADO DE RESULTADOS CONSOLIDADO</w:t>
        </w:r>
        <w:r w:rsidR="004A4EBB" w:rsidRPr="00D54ABD">
          <w:rPr>
            <w:webHidden/>
            <w:lang w:val="es-AR"/>
          </w:rPr>
          <w:tab/>
        </w:r>
      </w:hyperlink>
      <w:r w:rsidR="001A0EBA">
        <w:rPr>
          <w:lang w:val="es-AR"/>
        </w:rPr>
        <w:t>2</w:t>
      </w:r>
      <w:r w:rsidR="00A406A7">
        <w:rPr>
          <w:lang w:val="es-AR"/>
        </w:rPr>
        <w:t>0</w:t>
      </w:r>
    </w:p>
    <w:p w14:paraId="010E0547" w14:textId="09360C00" w:rsidR="004A4EBB" w:rsidRPr="00D54ABD" w:rsidRDefault="000725C7" w:rsidP="003111EB">
      <w:pPr>
        <w:pStyle w:val="TOC2"/>
        <w:rPr>
          <w:rFonts w:eastAsia="Times New Roman"/>
          <w:lang w:val="es-AR" w:eastAsia="es-AR"/>
        </w:rPr>
      </w:pPr>
      <w:hyperlink w:anchor="_Toc331003953" w:history="1">
        <w:r w:rsidR="000C50C9">
          <w:rPr>
            <w:rStyle w:val="Hyperlink"/>
          </w:rPr>
          <w:t>5</w:t>
        </w:r>
        <w:r w:rsidR="000C50C9" w:rsidRPr="00D54ABD">
          <w:rPr>
            <w:rStyle w:val="Hyperlink"/>
          </w:rPr>
          <w:t>.2 BALANCE GENERAL CONSOLIDADO</w:t>
        </w:r>
        <w:r w:rsidR="000C50C9" w:rsidRPr="00D54ABD">
          <w:rPr>
            <w:webHidden/>
            <w:lang w:val="es-AR"/>
          </w:rPr>
          <w:tab/>
        </w:r>
        <w:r w:rsidR="001A0EBA">
          <w:rPr>
            <w:webHidden/>
            <w:lang w:val="es-AR"/>
          </w:rPr>
          <w:t>2</w:t>
        </w:r>
        <w:r w:rsidR="00A406A7">
          <w:rPr>
            <w:webHidden/>
            <w:lang w:val="es-AR"/>
          </w:rPr>
          <w:t>1</w:t>
        </w:r>
      </w:hyperlink>
    </w:p>
    <w:p w14:paraId="11ED2E31" w14:textId="79770F66" w:rsidR="004A4EBB" w:rsidRPr="00D54ABD" w:rsidRDefault="000725C7" w:rsidP="003111EB">
      <w:pPr>
        <w:pStyle w:val="TOC2"/>
        <w:rPr>
          <w:rFonts w:eastAsia="Times New Roman"/>
          <w:lang w:val="es-AR" w:eastAsia="es-AR"/>
        </w:rPr>
      </w:pPr>
      <w:hyperlink w:anchor="_Toc331003954" w:history="1">
        <w:r w:rsidR="004A4EBB">
          <w:rPr>
            <w:rStyle w:val="Hyperlink"/>
          </w:rPr>
          <w:t>5</w:t>
        </w:r>
        <w:r w:rsidR="004A4EBB" w:rsidRPr="00D54ABD">
          <w:rPr>
            <w:rStyle w:val="Hyperlink"/>
          </w:rPr>
          <w:t>.3 ESTADO DE FLUJO DE EFECTIVO CONSOLIDADO</w:t>
        </w:r>
        <w:r w:rsidR="004A4EBB" w:rsidRPr="00D54ABD">
          <w:rPr>
            <w:webHidden/>
            <w:lang w:val="es-AR"/>
          </w:rPr>
          <w:tab/>
        </w:r>
      </w:hyperlink>
      <w:r w:rsidR="001A0EBA">
        <w:rPr>
          <w:lang w:val="es-AR"/>
        </w:rPr>
        <w:t>2</w:t>
      </w:r>
      <w:r w:rsidR="00A406A7">
        <w:rPr>
          <w:lang w:val="es-AR"/>
        </w:rPr>
        <w:t>2</w:t>
      </w:r>
    </w:p>
    <w:p w14:paraId="5311C686" w14:textId="6796AD1F" w:rsidR="004A4EBB" w:rsidRPr="00D54ABD" w:rsidRDefault="000725C7" w:rsidP="003111EB">
      <w:pPr>
        <w:pStyle w:val="TOC2"/>
        <w:rPr>
          <w:rFonts w:eastAsia="Times New Roman"/>
          <w:lang w:val="es-AR" w:eastAsia="es-AR"/>
        </w:rPr>
      </w:pPr>
      <w:hyperlink w:anchor="_Toc331003954" w:history="1">
        <w:r w:rsidR="000C50C9">
          <w:rPr>
            <w:rStyle w:val="Hyperlink"/>
          </w:rPr>
          <w:t>5</w:t>
        </w:r>
        <w:r w:rsidR="000C50C9" w:rsidRPr="00D54ABD">
          <w:rPr>
            <w:rStyle w:val="Hyperlink"/>
          </w:rPr>
          <w:t>.</w:t>
        </w:r>
        <w:r w:rsidR="000C50C9">
          <w:rPr>
            <w:rStyle w:val="Hyperlink"/>
          </w:rPr>
          <w:t>4</w:t>
        </w:r>
        <w:r w:rsidR="000C50C9" w:rsidRPr="00D54ABD">
          <w:rPr>
            <w:rStyle w:val="Hyperlink"/>
          </w:rPr>
          <w:t xml:space="preserve"> </w:t>
        </w:r>
        <w:r w:rsidR="000C50C9" w:rsidRPr="00394C4E">
          <w:rPr>
            <w:rStyle w:val="Hyperlink"/>
          </w:rPr>
          <w:t>INFORMACIÓN CONSOLIDADA SOBRE SEGMENTOS DE NEGOCIO</w:t>
        </w:r>
        <w:r w:rsidR="000C50C9" w:rsidRPr="00D54ABD">
          <w:rPr>
            <w:webHidden/>
            <w:lang w:val="es-AR"/>
          </w:rPr>
          <w:tab/>
        </w:r>
        <w:r w:rsidR="001A0EBA">
          <w:rPr>
            <w:webHidden/>
            <w:lang w:val="es-AR"/>
          </w:rPr>
          <w:t>2</w:t>
        </w:r>
        <w:r w:rsidR="00A406A7">
          <w:rPr>
            <w:webHidden/>
            <w:lang w:val="es-AR"/>
          </w:rPr>
          <w:t>3</w:t>
        </w:r>
      </w:hyperlink>
    </w:p>
    <w:p w14:paraId="6BF9D4E9" w14:textId="1A7C5BDA" w:rsidR="004A4EBB" w:rsidRPr="007B5367" w:rsidRDefault="000725C7" w:rsidP="003111EB">
      <w:pPr>
        <w:pStyle w:val="TOC2"/>
        <w:rPr>
          <w:rStyle w:val="Hyperlink"/>
        </w:rPr>
      </w:pPr>
      <w:hyperlink w:anchor="_Toc331003954" w:history="1">
        <w:r w:rsidR="00652482">
          <w:rPr>
            <w:rStyle w:val="Hyperlink"/>
          </w:rPr>
          <w:t>5</w:t>
        </w:r>
        <w:r w:rsidR="00652482" w:rsidRPr="00D54ABD">
          <w:rPr>
            <w:rStyle w:val="Hyperlink"/>
          </w:rPr>
          <w:t>.</w:t>
        </w:r>
        <w:r w:rsidR="00652482">
          <w:rPr>
            <w:rStyle w:val="Hyperlink"/>
          </w:rPr>
          <w:t>5</w:t>
        </w:r>
        <w:r w:rsidR="00652482" w:rsidRPr="00D54ABD">
          <w:rPr>
            <w:rStyle w:val="Hyperlink"/>
          </w:rPr>
          <w:t xml:space="preserve"> </w:t>
        </w:r>
        <w:r w:rsidR="00652482" w:rsidRPr="00394C4E">
          <w:rPr>
            <w:rStyle w:val="Hyperlink"/>
          </w:rPr>
          <w:t>PRINCIPALES MAGNITUDES FINANCIERAS EXPRESADAS EN D</w:t>
        </w:r>
        <w:r w:rsidR="006842C1">
          <w:rPr>
            <w:rStyle w:val="Hyperlink"/>
          </w:rPr>
          <w:t>Ó</w:t>
        </w:r>
        <w:r w:rsidR="00652482" w:rsidRPr="00394C4E">
          <w:rPr>
            <w:rStyle w:val="Hyperlink"/>
          </w:rPr>
          <w:t>LARES ESTADOUNIDENSES</w:t>
        </w:r>
        <w:r w:rsidR="00652482" w:rsidRPr="00D54ABD">
          <w:rPr>
            <w:webHidden/>
            <w:lang w:val="es-AR"/>
          </w:rPr>
          <w:tab/>
        </w:r>
        <w:r w:rsidR="001A0EBA">
          <w:rPr>
            <w:webHidden/>
            <w:lang w:val="es-AR"/>
          </w:rPr>
          <w:t>2</w:t>
        </w:r>
        <w:r w:rsidR="00A406A7">
          <w:rPr>
            <w:webHidden/>
            <w:lang w:val="es-AR"/>
          </w:rPr>
          <w:t>4</w:t>
        </w:r>
      </w:hyperlink>
    </w:p>
    <w:p w14:paraId="6A69E913" w14:textId="2FDC68A7" w:rsidR="00FB4506" w:rsidRPr="00D54ABD" w:rsidRDefault="000725C7" w:rsidP="003111EB">
      <w:pPr>
        <w:pStyle w:val="TOC2"/>
        <w:rPr>
          <w:rFonts w:eastAsia="Times New Roman"/>
          <w:lang w:val="es-AR" w:eastAsia="es-AR"/>
        </w:rPr>
      </w:pPr>
      <w:hyperlink w:anchor="_Toc331003954" w:history="1">
        <w:r w:rsidR="00652482">
          <w:rPr>
            <w:rStyle w:val="Hyperlink"/>
          </w:rPr>
          <w:t>5</w:t>
        </w:r>
        <w:r w:rsidR="00652482" w:rsidRPr="00D54ABD">
          <w:rPr>
            <w:rStyle w:val="Hyperlink"/>
          </w:rPr>
          <w:t>.</w:t>
        </w:r>
        <w:r w:rsidR="00652482">
          <w:rPr>
            <w:rStyle w:val="Hyperlink"/>
          </w:rPr>
          <w:t>6</w:t>
        </w:r>
        <w:r w:rsidR="00652482" w:rsidRPr="00D54ABD">
          <w:rPr>
            <w:rStyle w:val="Hyperlink"/>
          </w:rPr>
          <w:t xml:space="preserve"> </w:t>
        </w:r>
        <w:r w:rsidR="00652482" w:rsidRPr="007B5367">
          <w:rPr>
            <w:rStyle w:val="Hyperlink"/>
          </w:rPr>
          <w:t>PRINCIPALES MAGNITUDES F</w:t>
        </w:r>
        <w:r w:rsidR="006842C1">
          <w:rPr>
            <w:rStyle w:val="Hyperlink"/>
          </w:rPr>
          <w:t>Í</w:t>
        </w:r>
        <w:r w:rsidR="00652482" w:rsidRPr="007B5367">
          <w:rPr>
            <w:rStyle w:val="Hyperlink"/>
          </w:rPr>
          <w:t>SICAS</w:t>
        </w:r>
        <w:r w:rsidR="00652482" w:rsidRPr="007B5367">
          <w:rPr>
            <w:rStyle w:val="Hyperlink"/>
            <w:webHidden/>
          </w:rPr>
          <w:tab/>
        </w:r>
        <w:r w:rsidR="001A0EBA">
          <w:rPr>
            <w:rStyle w:val="Hyperlink"/>
            <w:webHidden/>
          </w:rPr>
          <w:t>2</w:t>
        </w:r>
        <w:r w:rsidR="00A406A7">
          <w:rPr>
            <w:rStyle w:val="Hyperlink"/>
            <w:webHidden/>
          </w:rPr>
          <w:t>5</w:t>
        </w:r>
      </w:hyperlink>
    </w:p>
    <w:p w14:paraId="7C1F769C" w14:textId="5240765C" w:rsidR="004A4EBB" w:rsidRPr="007B5367" w:rsidRDefault="004A4EBB" w:rsidP="003111EB">
      <w:pPr>
        <w:pStyle w:val="TOC2"/>
        <w:rPr>
          <w:rStyle w:val="Hyperlink"/>
          <w:rFonts w:ascii="Calibri" w:hAnsi="Calibri" w:cs="Times New Roman"/>
          <w:sz w:val="22"/>
          <w:szCs w:val="22"/>
        </w:rPr>
      </w:pPr>
    </w:p>
    <w:p w14:paraId="5E163069" w14:textId="77777777" w:rsidR="00572C11" w:rsidRPr="00572C11" w:rsidRDefault="00572C11" w:rsidP="00572C11">
      <w:pPr>
        <w:rPr>
          <w:lang w:val="es-AR"/>
        </w:rPr>
      </w:pPr>
    </w:p>
    <w:p w14:paraId="144C2229" w14:textId="77777777" w:rsidR="00E8782E" w:rsidRPr="00E8782E" w:rsidRDefault="00E8782E" w:rsidP="00E8782E">
      <w:pPr>
        <w:rPr>
          <w:lang w:val="es-AR"/>
        </w:rPr>
      </w:pPr>
    </w:p>
    <w:p w14:paraId="47C73598" w14:textId="77777777" w:rsidR="00D73C93" w:rsidRPr="001E13B9" w:rsidRDefault="00D73C93" w:rsidP="003111EB">
      <w:pPr>
        <w:pStyle w:val="TOC2"/>
        <w:rPr>
          <w:rStyle w:val="Hyperlink"/>
          <w:lang w:val="es-AR"/>
        </w:rPr>
      </w:pPr>
    </w:p>
    <w:p w14:paraId="405FD29F" w14:textId="77777777" w:rsidR="00EE189B" w:rsidRDefault="00AF313A" w:rsidP="00212EFB">
      <w:pPr>
        <w:ind w:left="720" w:hanging="720"/>
        <w:rPr>
          <w:lang w:val="es-ES"/>
        </w:rPr>
      </w:pPr>
      <w:r w:rsidRPr="001E13B9">
        <w:rPr>
          <w:rFonts w:ascii="Arial" w:hAnsi="Arial" w:cs="Arial"/>
          <w:sz w:val="20"/>
          <w:lang w:val="es-ES"/>
        </w:rPr>
        <w:fldChar w:fldCharType="end"/>
      </w:r>
    </w:p>
    <w:p w14:paraId="372005C3" w14:textId="77777777" w:rsidR="00F5784D" w:rsidRPr="001F09F0" w:rsidRDefault="00F5784D" w:rsidP="00F5784D">
      <w:pPr>
        <w:rPr>
          <w:lang w:val="es-AR"/>
        </w:rPr>
      </w:pPr>
    </w:p>
    <w:p w14:paraId="6289E82C" w14:textId="77777777" w:rsidR="00F5784D" w:rsidRPr="001F09F0" w:rsidRDefault="00F5784D" w:rsidP="00F5784D">
      <w:pPr>
        <w:rPr>
          <w:lang w:val="es-AR"/>
        </w:rPr>
      </w:pPr>
    </w:p>
    <w:p w14:paraId="5F9CD41F" w14:textId="77777777" w:rsidR="00F5784D" w:rsidRPr="001F09F0" w:rsidRDefault="00F5784D" w:rsidP="00F5784D">
      <w:pPr>
        <w:rPr>
          <w:lang w:val="es-AR"/>
        </w:rPr>
      </w:pPr>
    </w:p>
    <w:p w14:paraId="1E8297EF" w14:textId="77777777" w:rsidR="00F5784D" w:rsidRPr="001F09F0" w:rsidRDefault="00F5784D" w:rsidP="00F5784D">
      <w:pPr>
        <w:rPr>
          <w:lang w:val="es-AR"/>
        </w:rPr>
      </w:pPr>
    </w:p>
    <w:p w14:paraId="309ADA90" w14:textId="0B976CFF" w:rsidR="00274A9F" w:rsidRPr="00CD0C01" w:rsidRDefault="009C745F" w:rsidP="00274A9F">
      <w:pPr>
        <w:spacing w:after="0" w:line="240" w:lineRule="auto"/>
        <w:jc w:val="center"/>
        <w:rPr>
          <w:rFonts w:ascii="Arial" w:hAnsi="Arial" w:cs="Arial"/>
          <w:b/>
          <w:bCs/>
          <w:noProof/>
          <w:color w:val="FF0000"/>
          <w:spacing w:val="-3"/>
          <w:sz w:val="26"/>
          <w:szCs w:val="26"/>
          <w:lang w:val="es-AR"/>
        </w:rPr>
      </w:pPr>
      <w:r>
        <w:rPr>
          <w:b/>
          <w:bCs/>
          <w:szCs w:val="4"/>
          <w:lang w:val="es-AR"/>
        </w:rPr>
        <w:br w:type="page"/>
      </w:r>
    </w:p>
    <w:p w14:paraId="6EB5E235" w14:textId="65FDE740" w:rsidR="00D938E7" w:rsidRDefault="00D25A80" w:rsidP="006D2228">
      <w:pPr>
        <w:spacing w:after="0" w:line="240" w:lineRule="auto"/>
        <w:ind w:firstLine="720"/>
        <w:jc w:val="center"/>
        <w:rPr>
          <w:rFonts w:ascii="Arial" w:hAnsi="Arial" w:cs="Arial"/>
          <w:b/>
          <w:bCs/>
          <w:noProof/>
          <w:spacing w:val="-3"/>
          <w:sz w:val="14"/>
          <w:szCs w:val="14"/>
          <w:lang w:val="es-AR"/>
        </w:rPr>
      </w:pPr>
      <w:r w:rsidRPr="00203CD8">
        <w:rPr>
          <w:rFonts w:ascii="Arial" w:hAnsi="Arial" w:cs="Arial"/>
          <w:b/>
          <w:bCs/>
          <w:sz w:val="26"/>
          <w:szCs w:val="26"/>
          <w:lang w:val="es-AR"/>
        </w:rPr>
        <w:lastRenderedPageBreak/>
        <w:t xml:space="preserve">El EBITDA </w:t>
      </w:r>
      <w:r w:rsidR="009250D2" w:rsidRPr="00203CD8">
        <w:rPr>
          <w:rFonts w:ascii="Arial" w:hAnsi="Arial" w:cs="Arial"/>
          <w:b/>
          <w:bCs/>
          <w:sz w:val="26"/>
          <w:szCs w:val="26"/>
          <w:lang w:val="es-AR"/>
        </w:rPr>
        <w:t xml:space="preserve">Ajustado </w:t>
      </w:r>
      <w:r w:rsidRPr="00203CD8">
        <w:rPr>
          <w:rFonts w:ascii="Arial" w:hAnsi="Arial" w:cs="Arial"/>
          <w:b/>
          <w:bCs/>
          <w:sz w:val="26"/>
          <w:szCs w:val="26"/>
          <w:lang w:val="es-AR"/>
        </w:rPr>
        <w:t xml:space="preserve">del </w:t>
      </w:r>
      <w:r w:rsidR="00966ADD" w:rsidRPr="00203CD8">
        <w:rPr>
          <w:rFonts w:ascii="Arial" w:hAnsi="Arial" w:cs="Arial"/>
          <w:b/>
          <w:bCs/>
          <w:sz w:val="26"/>
          <w:szCs w:val="26"/>
          <w:lang w:val="es-AR"/>
        </w:rPr>
        <w:t>segundo</w:t>
      </w:r>
      <w:r w:rsidRPr="00203CD8">
        <w:rPr>
          <w:rFonts w:ascii="Arial" w:hAnsi="Arial" w:cs="Arial"/>
          <w:b/>
          <w:bCs/>
          <w:sz w:val="26"/>
          <w:szCs w:val="26"/>
          <w:lang w:val="es-AR"/>
        </w:rPr>
        <w:t xml:space="preserve"> trimestre de 2019</w:t>
      </w:r>
      <w:r w:rsidR="00CB43B2" w:rsidRPr="00203CD8">
        <w:rPr>
          <w:rFonts w:ascii="Arial" w:hAnsi="Arial" w:cs="Arial"/>
          <w:b/>
          <w:bCs/>
          <w:sz w:val="26"/>
          <w:szCs w:val="26"/>
          <w:lang w:val="es-AR"/>
        </w:rPr>
        <w:t xml:space="preserve"> alcanzó los </w:t>
      </w:r>
      <w:proofErr w:type="spellStart"/>
      <w:r w:rsidR="00CB43B2" w:rsidRPr="00203CD8">
        <w:rPr>
          <w:rFonts w:ascii="Arial" w:hAnsi="Arial" w:cs="Arial"/>
          <w:b/>
          <w:bCs/>
          <w:sz w:val="26"/>
          <w:szCs w:val="26"/>
          <w:lang w:val="es-AR"/>
        </w:rPr>
        <w:t>Ps</w:t>
      </w:r>
      <w:proofErr w:type="spellEnd"/>
      <w:r w:rsidR="008F7BD1" w:rsidRPr="00203CD8">
        <w:rPr>
          <w:rFonts w:ascii="Arial" w:hAnsi="Arial" w:cs="Arial"/>
          <w:b/>
          <w:bCs/>
          <w:sz w:val="26"/>
          <w:szCs w:val="26"/>
          <w:lang w:val="es-AR"/>
        </w:rPr>
        <w:t xml:space="preserve"> </w:t>
      </w:r>
      <w:r w:rsidR="006A5DF9" w:rsidRPr="00203CD8">
        <w:rPr>
          <w:rFonts w:ascii="Arial" w:hAnsi="Arial" w:cs="Arial"/>
          <w:b/>
          <w:bCs/>
          <w:sz w:val="26"/>
          <w:szCs w:val="26"/>
          <w:lang w:val="es-AR"/>
        </w:rPr>
        <w:t>41,6</w:t>
      </w:r>
      <w:r w:rsidRPr="00203CD8">
        <w:rPr>
          <w:rFonts w:ascii="Arial" w:hAnsi="Arial" w:cs="Arial"/>
          <w:b/>
          <w:bCs/>
          <w:sz w:val="26"/>
          <w:szCs w:val="26"/>
          <w:lang w:val="es-AR"/>
        </w:rPr>
        <w:t xml:space="preserve"> MM</w:t>
      </w:r>
      <w:r w:rsidR="00A90676" w:rsidRPr="00203CD8">
        <w:rPr>
          <w:rFonts w:ascii="Arial" w:hAnsi="Arial" w:cs="Arial"/>
          <w:b/>
          <w:bCs/>
          <w:sz w:val="26"/>
          <w:szCs w:val="26"/>
          <w:lang w:val="es-AR"/>
        </w:rPr>
        <w:t>,</w:t>
      </w:r>
      <w:r w:rsidR="008F7BD1" w:rsidRPr="00203CD8">
        <w:rPr>
          <w:rFonts w:ascii="Arial" w:hAnsi="Arial" w:cs="Arial"/>
          <w:b/>
          <w:bCs/>
          <w:sz w:val="26"/>
          <w:szCs w:val="26"/>
          <w:lang w:val="es-AR"/>
        </w:rPr>
        <w:t xml:space="preserve"> un </w:t>
      </w:r>
      <w:r w:rsidR="00203CD8" w:rsidRPr="00203CD8">
        <w:rPr>
          <w:rFonts w:ascii="Arial" w:hAnsi="Arial" w:cs="Arial"/>
          <w:b/>
          <w:bCs/>
          <w:sz w:val="26"/>
          <w:szCs w:val="26"/>
          <w:lang w:val="es-AR"/>
        </w:rPr>
        <w:t>67,8</w:t>
      </w:r>
      <w:r w:rsidR="008F7BD1" w:rsidRPr="00203CD8">
        <w:rPr>
          <w:rFonts w:ascii="Arial" w:hAnsi="Arial" w:cs="Arial"/>
          <w:b/>
          <w:bCs/>
          <w:sz w:val="26"/>
          <w:szCs w:val="26"/>
          <w:lang w:val="es-AR"/>
        </w:rPr>
        <w:t>%</w:t>
      </w:r>
      <w:r w:rsidRPr="00203CD8">
        <w:rPr>
          <w:rFonts w:ascii="Arial" w:hAnsi="Arial" w:cs="Arial"/>
          <w:b/>
          <w:bCs/>
          <w:sz w:val="26"/>
          <w:szCs w:val="26"/>
          <w:lang w:val="es-AR"/>
        </w:rPr>
        <w:t xml:space="preserve"> superior al </w:t>
      </w:r>
      <w:r w:rsidR="00966ADD" w:rsidRPr="00203CD8">
        <w:rPr>
          <w:rFonts w:ascii="Arial" w:hAnsi="Arial" w:cs="Arial"/>
          <w:b/>
          <w:bCs/>
          <w:sz w:val="26"/>
          <w:szCs w:val="26"/>
          <w:lang w:val="es-AR"/>
        </w:rPr>
        <w:t xml:space="preserve">segundo </w:t>
      </w:r>
      <w:r w:rsidRPr="00203CD8">
        <w:rPr>
          <w:rFonts w:ascii="Arial" w:hAnsi="Arial" w:cs="Arial"/>
          <w:b/>
          <w:bCs/>
          <w:sz w:val="26"/>
          <w:szCs w:val="26"/>
          <w:lang w:val="es-AR"/>
        </w:rPr>
        <w:t>trimestre 2018</w:t>
      </w:r>
      <w:r w:rsidR="00CB43B2" w:rsidRPr="00203CD8">
        <w:rPr>
          <w:rFonts w:ascii="Arial" w:hAnsi="Arial" w:cs="Arial"/>
          <w:b/>
          <w:bCs/>
          <w:sz w:val="26"/>
          <w:szCs w:val="26"/>
          <w:lang w:val="es-AR"/>
        </w:rPr>
        <w:t>.</w:t>
      </w:r>
    </w:p>
    <w:p w14:paraId="589D829A" w14:textId="77777777" w:rsidR="006D2228" w:rsidRPr="006D2228" w:rsidRDefault="006D2228" w:rsidP="006D2228">
      <w:pPr>
        <w:spacing w:after="0" w:line="240" w:lineRule="auto"/>
        <w:ind w:firstLine="720"/>
        <w:jc w:val="center"/>
        <w:rPr>
          <w:rFonts w:ascii="Arial" w:hAnsi="Arial" w:cs="Arial"/>
          <w:b/>
          <w:bCs/>
          <w:noProof/>
          <w:spacing w:val="-3"/>
          <w:sz w:val="14"/>
          <w:szCs w:val="14"/>
          <w:lang w:val="es-AR"/>
        </w:rPr>
      </w:pPr>
    </w:p>
    <w:p w14:paraId="2E308FE4" w14:textId="504C06AC" w:rsidR="009E5609" w:rsidRDefault="00163CF5" w:rsidP="009250D2">
      <w:pPr>
        <w:tabs>
          <w:tab w:val="left" w:pos="0"/>
          <w:tab w:val="left" w:pos="10206"/>
        </w:tabs>
        <w:spacing w:after="0" w:line="240" w:lineRule="auto"/>
        <w:jc w:val="center"/>
        <w:rPr>
          <w:rFonts w:ascii="Arial" w:hAnsi="Arial" w:cs="Arial"/>
          <w:b/>
          <w:bCs/>
          <w:noProof/>
          <w:spacing w:val="-3"/>
          <w:sz w:val="26"/>
          <w:szCs w:val="26"/>
          <w:lang w:val="es-AR"/>
        </w:rPr>
      </w:pPr>
      <w:r w:rsidRPr="00163CF5">
        <w:rPr>
          <w:noProof/>
        </w:rPr>
        <w:drawing>
          <wp:inline distT="0" distB="0" distL="0" distR="0" wp14:anchorId="4628FE29" wp14:editId="1069BC76">
            <wp:extent cx="6570980" cy="2820123"/>
            <wp:effectExtent l="0" t="0" r="127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0980" cy="2820123"/>
                    </a:xfrm>
                    <a:prstGeom prst="rect">
                      <a:avLst/>
                    </a:prstGeom>
                    <a:noFill/>
                    <a:ln>
                      <a:noFill/>
                    </a:ln>
                  </pic:spPr>
                </pic:pic>
              </a:graphicData>
            </a:graphic>
          </wp:inline>
        </w:drawing>
      </w:r>
    </w:p>
    <w:p w14:paraId="0CD20B5E" w14:textId="77777777" w:rsidR="00011F55" w:rsidRPr="00FE655E" w:rsidRDefault="00011F55" w:rsidP="00011F55">
      <w:pPr>
        <w:tabs>
          <w:tab w:val="left" w:pos="1418"/>
        </w:tabs>
        <w:spacing w:after="0" w:line="240" w:lineRule="auto"/>
        <w:ind w:left="1134"/>
        <w:jc w:val="center"/>
        <w:rPr>
          <w:rFonts w:ascii="Arial" w:hAnsi="Arial" w:cs="Arial"/>
          <w:b/>
          <w:bCs/>
          <w:noProof/>
          <w:spacing w:val="-3"/>
          <w:sz w:val="12"/>
          <w:szCs w:val="12"/>
          <w:lang w:val="es-AR"/>
        </w:rPr>
      </w:pPr>
    </w:p>
    <w:p w14:paraId="492F1411" w14:textId="0695C11B" w:rsidR="00AF4E69" w:rsidRPr="000643B8" w:rsidRDefault="00EE06B4" w:rsidP="00364FA5">
      <w:pPr>
        <w:spacing w:after="0" w:line="240" w:lineRule="auto"/>
        <w:jc w:val="both"/>
        <w:rPr>
          <w:rFonts w:ascii="Arial" w:eastAsia="Times New Roman" w:hAnsi="Arial" w:cs="Arial"/>
          <w:sz w:val="14"/>
          <w:szCs w:val="18"/>
          <w:lang w:val="es-AR" w:eastAsia="es-AR"/>
        </w:rPr>
      </w:pPr>
      <w:r w:rsidRPr="000643B8">
        <w:rPr>
          <w:rFonts w:ascii="Arial" w:eastAsia="Times New Roman" w:hAnsi="Arial" w:cs="Arial"/>
          <w:sz w:val="14"/>
          <w:szCs w:val="18"/>
          <w:lang w:val="es-AR" w:eastAsia="es-AR"/>
        </w:rPr>
        <w:t xml:space="preserve">EBITDA = Utilidad Operativa + Depreciación de </w:t>
      </w:r>
      <w:r w:rsidR="00F56E7D" w:rsidRPr="000643B8">
        <w:rPr>
          <w:rFonts w:ascii="Arial" w:eastAsia="Times New Roman" w:hAnsi="Arial" w:cs="Arial"/>
          <w:sz w:val="14"/>
          <w:szCs w:val="18"/>
          <w:lang w:val="es-AR" w:eastAsia="es-AR"/>
        </w:rPr>
        <w:t>propiedad, planta y equipo</w:t>
      </w:r>
      <w:r w:rsidR="00670C4C">
        <w:rPr>
          <w:rFonts w:ascii="Arial" w:eastAsia="Times New Roman" w:hAnsi="Arial" w:cs="Arial"/>
          <w:sz w:val="14"/>
          <w:szCs w:val="18"/>
          <w:lang w:val="es-AR" w:eastAsia="es-AR"/>
        </w:rPr>
        <w:t xml:space="preserve"> + </w:t>
      </w:r>
      <w:r w:rsidR="00670C4C" w:rsidRPr="00670C4C">
        <w:rPr>
          <w:rFonts w:ascii="Arial" w:eastAsia="Times New Roman" w:hAnsi="Arial" w:cs="Arial"/>
          <w:sz w:val="14"/>
          <w:szCs w:val="18"/>
          <w:lang w:val="es-AR" w:eastAsia="es-AR"/>
        </w:rPr>
        <w:t>Depreciaci</w:t>
      </w:r>
      <w:r w:rsidR="00670C4C">
        <w:rPr>
          <w:rFonts w:ascii="Arial" w:eastAsia="Times New Roman" w:hAnsi="Arial" w:cs="Arial"/>
          <w:sz w:val="14"/>
          <w:szCs w:val="18"/>
          <w:lang w:val="es-AR" w:eastAsia="es-AR"/>
        </w:rPr>
        <w:t>ón</w:t>
      </w:r>
      <w:r w:rsidR="00670C4C" w:rsidRPr="00364FA5">
        <w:rPr>
          <w:rFonts w:ascii="Arial" w:eastAsia="Times New Roman" w:hAnsi="Arial" w:cs="Arial"/>
          <w:sz w:val="14"/>
          <w:szCs w:val="18"/>
          <w:lang w:val="es-AR" w:eastAsia="es-AR"/>
        </w:rPr>
        <w:t xml:space="preserve"> de acti</w:t>
      </w:r>
      <w:r w:rsidR="00670C4C" w:rsidRPr="00670C4C">
        <w:rPr>
          <w:rFonts w:ascii="Arial" w:eastAsia="Times New Roman" w:hAnsi="Arial" w:cs="Arial"/>
          <w:sz w:val="14"/>
          <w:szCs w:val="18"/>
          <w:lang w:val="es-AR" w:eastAsia="es-AR"/>
        </w:rPr>
        <w:t>vos por derecho de uso</w:t>
      </w:r>
      <w:r w:rsidR="00670C4C">
        <w:rPr>
          <w:rFonts w:ascii="Arial" w:eastAsia="Times New Roman" w:hAnsi="Arial" w:cs="Arial"/>
          <w:sz w:val="14"/>
          <w:szCs w:val="18"/>
          <w:lang w:val="es-AR" w:eastAsia="es-AR"/>
        </w:rPr>
        <w:t xml:space="preserve"> </w:t>
      </w:r>
      <w:r w:rsidRPr="000643B8">
        <w:rPr>
          <w:rFonts w:ascii="Arial" w:eastAsia="Times New Roman" w:hAnsi="Arial" w:cs="Arial"/>
          <w:sz w:val="14"/>
          <w:szCs w:val="18"/>
          <w:lang w:val="es-AR" w:eastAsia="es-AR"/>
        </w:rPr>
        <w:t xml:space="preserve">+ Amortización de Activos Intangibles + Perforaciones Exploratorias Improductivas + </w:t>
      </w:r>
      <w:r w:rsidR="00F56E7D" w:rsidRPr="000643B8">
        <w:rPr>
          <w:rFonts w:ascii="Arial" w:eastAsia="Times New Roman" w:hAnsi="Arial" w:cs="Arial"/>
          <w:sz w:val="14"/>
          <w:szCs w:val="18"/>
          <w:lang w:val="es-AR" w:eastAsia="es-AR"/>
        </w:rPr>
        <w:t>(</w:t>
      </w:r>
      <w:r w:rsidR="00D37FBB" w:rsidRPr="000643B8">
        <w:rPr>
          <w:rFonts w:ascii="Arial" w:eastAsia="Times New Roman" w:hAnsi="Arial" w:cs="Arial"/>
          <w:sz w:val="14"/>
          <w:szCs w:val="18"/>
          <w:lang w:val="es-AR" w:eastAsia="es-AR"/>
        </w:rPr>
        <w:t>Recupero</w:t>
      </w:r>
      <w:r w:rsidR="00F56E7D" w:rsidRPr="000643B8">
        <w:rPr>
          <w:rFonts w:ascii="Arial" w:eastAsia="Times New Roman" w:hAnsi="Arial" w:cs="Arial"/>
          <w:sz w:val="14"/>
          <w:szCs w:val="18"/>
          <w:lang w:val="es-AR" w:eastAsia="es-AR"/>
        </w:rPr>
        <w:t xml:space="preserve">) / </w:t>
      </w:r>
      <w:r w:rsidRPr="000643B8">
        <w:rPr>
          <w:rFonts w:ascii="Arial" w:eastAsia="Times New Roman" w:hAnsi="Arial" w:cs="Arial"/>
          <w:sz w:val="14"/>
          <w:szCs w:val="18"/>
          <w:lang w:val="es-AR" w:eastAsia="es-AR"/>
        </w:rPr>
        <w:t xml:space="preserve">Deterioro de propiedad, planta y equipo. </w:t>
      </w:r>
    </w:p>
    <w:p w14:paraId="2E21A0BA" w14:textId="22039E29" w:rsidR="006842C1" w:rsidRDefault="006842C1" w:rsidP="00AF4E69">
      <w:pPr>
        <w:spacing w:after="0"/>
        <w:jc w:val="both"/>
        <w:rPr>
          <w:rFonts w:ascii="Arial" w:eastAsia="Times New Roman" w:hAnsi="Arial" w:cs="Arial"/>
          <w:sz w:val="14"/>
          <w:szCs w:val="18"/>
          <w:lang w:val="es-AR" w:eastAsia="es-AR"/>
        </w:rPr>
      </w:pPr>
      <w:r w:rsidRPr="0065548B">
        <w:rPr>
          <w:rFonts w:ascii="Arial" w:eastAsia="Times New Roman" w:hAnsi="Arial" w:cs="Arial"/>
          <w:sz w:val="14"/>
          <w:szCs w:val="18"/>
          <w:lang w:val="es-AR" w:eastAsia="es-AR"/>
        </w:rPr>
        <w:t xml:space="preserve">EBITDA </w:t>
      </w:r>
      <w:r w:rsidR="00204B46" w:rsidRPr="00FF6179">
        <w:rPr>
          <w:rFonts w:ascii="Arial" w:eastAsia="Times New Roman" w:hAnsi="Arial" w:cs="Arial"/>
          <w:sz w:val="14"/>
          <w:szCs w:val="18"/>
          <w:lang w:val="es-AR" w:eastAsia="es-AR"/>
        </w:rPr>
        <w:t>Ajustado</w:t>
      </w:r>
      <w:r w:rsidRPr="0065548B">
        <w:rPr>
          <w:rFonts w:ascii="Arial" w:eastAsia="Times New Roman" w:hAnsi="Arial" w:cs="Arial"/>
          <w:sz w:val="14"/>
          <w:szCs w:val="18"/>
          <w:lang w:val="es-AR" w:eastAsia="es-AR"/>
        </w:rPr>
        <w:t xml:space="preserve">: </w:t>
      </w:r>
      <w:r w:rsidR="004B37AB" w:rsidRPr="00FF6179">
        <w:rPr>
          <w:rFonts w:ascii="Arial" w:eastAsia="Times New Roman" w:hAnsi="Arial" w:cs="Arial"/>
          <w:sz w:val="14"/>
          <w:szCs w:val="18"/>
          <w:lang w:val="es-AR" w:eastAsia="es-AR"/>
        </w:rPr>
        <w:t>EBITDA que ex</w:t>
      </w:r>
      <w:r w:rsidR="00FD0CC6">
        <w:rPr>
          <w:rFonts w:ascii="Arial" w:eastAsia="Times New Roman" w:hAnsi="Arial" w:cs="Arial"/>
          <w:sz w:val="14"/>
          <w:szCs w:val="18"/>
          <w:lang w:val="es-AR" w:eastAsia="es-AR"/>
        </w:rPr>
        <w:t xml:space="preserve">cluye efectos normas NIIF 16 y </w:t>
      </w:r>
      <w:r w:rsidRPr="0065548B">
        <w:rPr>
          <w:rFonts w:ascii="Arial" w:eastAsia="Times New Roman" w:hAnsi="Arial" w:cs="Arial"/>
          <w:sz w:val="14"/>
          <w:szCs w:val="18"/>
          <w:lang w:val="es-AR" w:eastAsia="es-AR"/>
        </w:rPr>
        <w:t xml:space="preserve">el resultado por revaluación de la inversión de YPF S.A. en YPF Energía Eléctrica (YPF EE) por </w:t>
      </w:r>
      <w:proofErr w:type="spellStart"/>
      <w:r w:rsidRPr="0065548B">
        <w:rPr>
          <w:rFonts w:ascii="Arial" w:eastAsia="Times New Roman" w:hAnsi="Arial" w:cs="Arial"/>
          <w:sz w:val="14"/>
          <w:szCs w:val="18"/>
          <w:lang w:val="es-AR" w:eastAsia="es-AR"/>
        </w:rPr>
        <w:t>Ps</w:t>
      </w:r>
      <w:proofErr w:type="spellEnd"/>
      <w:r w:rsidRPr="0065548B">
        <w:rPr>
          <w:rFonts w:ascii="Arial" w:eastAsia="Times New Roman" w:hAnsi="Arial" w:cs="Arial"/>
          <w:sz w:val="14"/>
          <w:szCs w:val="18"/>
          <w:lang w:val="es-AR" w:eastAsia="es-AR"/>
        </w:rPr>
        <w:t xml:space="preserve"> 12,0 MM durante el 1T 2018.</w:t>
      </w:r>
      <w:r w:rsidR="00204B46" w:rsidRPr="00E60403">
        <w:rPr>
          <w:rFonts w:ascii="Arial" w:eastAsia="Times New Roman" w:hAnsi="Arial" w:cs="Arial"/>
          <w:sz w:val="14"/>
          <w:szCs w:val="18"/>
          <w:lang w:val="es-AR" w:eastAsia="es-AR"/>
        </w:rPr>
        <w:t xml:space="preserve"> </w:t>
      </w:r>
    </w:p>
    <w:p w14:paraId="75E78B9C" w14:textId="77777777" w:rsidR="00DC0224" w:rsidRPr="00E60403" w:rsidRDefault="00DC0224" w:rsidP="00AF4E69">
      <w:pPr>
        <w:spacing w:after="0"/>
        <w:jc w:val="both"/>
        <w:rPr>
          <w:rFonts w:ascii="Arial" w:eastAsia="Times New Roman" w:hAnsi="Arial" w:cs="Arial"/>
          <w:sz w:val="14"/>
          <w:szCs w:val="18"/>
          <w:lang w:val="es-AR" w:eastAsia="es-AR"/>
        </w:rPr>
      </w:pPr>
    </w:p>
    <w:p w14:paraId="6BA8B392" w14:textId="77777777" w:rsidR="00F0735C" w:rsidRPr="00FF6179" w:rsidRDefault="00F0735C" w:rsidP="005634A7">
      <w:pPr>
        <w:spacing w:after="0"/>
        <w:jc w:val="center"/>
        <w:rPr>
          <w:i/>
          <w:sz w:val="14"/>
          <w:szCs w:val="14"/>
          <w:lang w:val="es-AR"/>
        </w:rPr>
      </w:pPr>
    </w:p>
    <w:p w14:paraId="41FDD489" w14:textId="77777777" w:rsidR="0023481B" w:rsidRPr="005634A7" w:rsidRDefault="0023481B" w:rsidP="005634A7">
      <w:pPr>
        <w:pStyle w:val="Heading1"/>
        <w:tabs>
          <w:tab w:val="clear" w:pos="567"/>
        </w:tabs>
        <w:ind w:right="0"/>
        <w:jc w:val="center"/>
        <w:rPr>
          <w:rFonts w:cs="Arial"/>
          <w:b w:val="0"/>
          <w:i/>
          <w:lang w:val="es-AR"/>
        </w:rPr>
      </w:pPr>
      <w:bookmarkStart w:id="62" w:name="_Toc331003944"/>
      <w:r w:rsidRPr="005634A7">
        <w:rPr>
          <w:rFonts w:cs="Arial"/>
          <w:b w:val="0"/>
          <w:i/>
          <w:lang w:val="es-AR"/>
        </w:rPr>
        <w:t xml:space="preserve">(Cifras expresadas en Miles de Millones de Pesos = </w:t>
      </w:r>
      <w:proofErr w:type="spellStart"/>
      <w:r w:rsidRPr="005634A7">
        <w:rPr>
          <w:rFonts w:cs="Arial"/>
          <w:b w:val="0"/>
          <w:i/>
          <w:lang w:val="es-AR"/>
        </w:rPr>
        <w:t>Ps</w:t>
      </w:r>
      <w:proofErr w:type="spellEnd"/>
      <w:r w:rsidRPr="005634A7">
        <w:rPr>
          <w:rFonts w:cs="Arial"/>
          <w:b w:val="0"/>
          <w:i/>
          <w:lang w:val="es-AR"/>
        </w:rPr>
        <w:t xml:space="preserve"> MM)</w:t>
      </w:r>
    </w:p>
    <w:p w14:paraId="41CF6635" w14:textId="77777777" w:rsidR="0023481B" w:rsidRDefault="0023481B" w:rsidP="008614DC">
      <w:pPr>
        <w:pStyle w:val="Heading1"/>
        <w:tabs>
          <w:tab w:val="clear" w:pos="567"/>
        </w:tabs>
        <w:ind w:right="0"/>
        <w:jc w:val="left"/>
        <w:rPr>
          <w:rFonts w:ascii="Calibri" w:eastAsia="Calibri" w:hAnsi="Calibri"/>
          <w:b w:val="0"/>
          <w:sz w:val="22"/>
          <w:szCs w:val="22"/>
          <w:lang w:val="es-AR"/>
        </w:rPr>
      </w:pPr>
    </w:p>
    <w:p w14:paraId="4C90E24F" w14:textId="722C169C" w:rsidR="004113C9" w:rsidRPr="008357BF" w:rsidRDefault="001B4213" w:rsidP="008614DC">
      <w:pPr>
        <w:pStyle w:val="Heading1"/>
        <w:tabs>
          <w:tab w:val="clear" w:pos="567"/>
        </w:tabs>
        <w:ind w:right="0"/>
        <w:jc w:val="left"/>
        <w:rPr>
          <w:rFonts w:cs="Arial"/>
          <w:sz w:val="24"/>
          <w:szCs w:val="22"/>
          <w:u w:val="single"/>
          <w:lang w:val="es-AR"/>
        </w:rPr>
      </w:pPr>
      <w:r w:rsidRPr="008357BF">
        <w:rPr>
          <w:rFonts w:cs="Arial"/>
          <w:sz w:val="24"/>
          <w:szCs w:val="22"/>
          <w:u w:val="single"/>
          <w:lang w:val="es-AR"/>
        </w:rPr>
        <w:t xml:space="preserve">1. </w:t>
      </w:r>
      <w:r w:rsidR="004326A8" w:rsidRPr="008357BF">
        <w:rPr>
          <w:rFonts w:cs="Arial"/>
          <w:sz w:val="24"/>
          <w:szCs w:val="22"/>
          <w:u w:val="single"/>
          <w:lang w:val="es-AR"/>
        </w:rPr>
        <w:t xml:space="preserve">PRINCIPALES </w:t>
      </w:r>
      <w:r w:rsidR="00224F69" w:rsidRPr="008357BF">
        <w:rPr>
          <w:rFonts w:cs="Arial"/>
          <w:sz w:val="24"/>
          <w:szCs w:val="22"/>
          <w:u w:val="single"/>
          <w:lang w:val="es-AR"/>
        </w:rPr>
        <w:t xml:space="preserve">HITOS Y </w:t>
      </w:r>
      <w:r w:rsidR="004326A8" w:rsidRPr="008357BF">
        <w:rPr>
          <w:rFonts w:cs="Arial"/>
          <w:sz w:val="24"/>
          <w:szCs w:val="22"/>
          <w:u w:val="single"/>
          <w:lang w:val="es-AR"/>
        </w:rPr>
        <w:t>MAGNITUDES ECONÓMICAS DEL</w:t>
      </w:r>
      <w:r w:rsidR="0055174A" w:rsidRPr="008357BF">
        <w:rPr>
          <w:rFonts w:cs="Arial"/>
          <w:sz w:val="24"/>
          <w:szCs w:val="22"/>
          <w:u w:val="single"/>
          <w:lang w:val="es-AR"/>
        </w:rPr>
        <w:t xml:space="preserve"> </w:t>
      </w:r>
      <w:bookmarkEnd w:id="62"/>
      <w:r w:rsidR="00966ADD">
        <w:rPr>
          <w:rFonts w:cs="Arial"/>
          <w:sz w:val="24"/>
          <w:szCs w:val="22"/>
          <w:u w:val="single"/>
          <w:lang w:val="es-AR"/>
        </w:rPr>
        <w:t xml:space="preserve">SEGUNDO </w:t>
      </w:r>
      <w:r w:rsidR="00CB43B2">
        <w:rPr>
          <w:rFonts w:cs="Arial"/>
          <w:sz w:val="24"/>
          <w:szCs w:val="22"/>
          <w:u w:val="single"/>
          <w:lang w:val="es-AR"/>
        </w:rPr>
        <w:t>TRIMESTRE DE 2019</w:t>
      </w:r>
    </w:p>
    <w:p w14:paraId="6D46CF7B" w14:textId="77777777" w:rsidR="00A664E4" w:rsidRPr="00A664E4" w:rsidRDefault="00A664E4" w:rsidP="004326A8">
      <w:pPr>
        <w:spacing w:after="0"/>
        <w:jc w:val="both"/>
        <w:rPr>
          <w:rFonts w:ascii="Arial" w:hAnsi="Arial" w:cs="Arial"/>
          <w:color w:val="808080"/>
          <w:spacing w:val="-3"/>
          <w:lang w:val="es-AR"/>
        </w:rPr>
      </w:pPr>
    </w:p>
    <w:p w14:paraId="50929945" w14:textId="45D8C510" w:rsidR="00316196" w:rsidRPr="00485C1E" w:rsidRDefault="00316196" w:rsidP="00485C1E">
      <w:pPr>
        <w:pStyle w:val="BodyText"/>
        <w:numPr>
          <w:ilvl w:val="0"/>
          <w:numId w:val="5"/>
        </w:numPr>
        <w:spacing w:after="240" w:line="288" w:lineRule="auto"/>
        <w:ind w:left="284" w:hanging="284"/>
        <w:jc w:val="both"/>
        <w:rPr>
          <w:rFonts w:ascii="Arial" w:hAnsi="Arial" w:cs="Arial"/>
          <w:spacing w:val="-3"/>
          <w:lang w:val="es-AR"/>
        </w:rPr>
      </w:pPr>
      <w:r w:rsidRPr="00485C1E">
        <w:rPr>
          <w:rFonts w:ascii="Arial" w:hAnsi="Arial" w:cs="Arial"/>
          <w:spacing w:val="-3"/>
          <w:lang w:val="es-AR"/>
        </w:rPr>
        <w:t xml:space="preserve">Los ingresos </w:t>
      </w:r>
      <w:r w:rsidR="006842C1" w:rsidRPr="00485C1E">
        <w:rPr>
          <w:rFonts w:ascii="Arial" w:hAnsi="Arial" w:cs="Arial"/>
          <w:spacing w:val="-3"/>
          <w:lang w:val="es-AR"/>
        </w:rPr>
        <w:t xml:space="preserve">ordinarios </w:t>
      </w:r>
      <w:r w:rsidR="00D25A80">
        <w:rPr>
          <w:rFonts w:ascii="Arial" w:hAnsi="Arial" w:cs="Arial"/>
          <w:spacing w:val="-3"/>
          <w:lang w:val="es-AR"/>
        </w:rPr>
        <w:t xml:space="preserve">en el </w:t>
      </w:r>
      <w:r w:rsidR="00966ADD">
        <w:rPr>
          <w:rFonts w:ascii="Arial" w:hAnsi="Arial" w:cs="Arial"/>
          <w:spacing w:val="-3"/>
          <w:lang w:val="es-AR"/>
        </w:rPr>
        <w:t xml:space="preserve">segundo </w:t>
      </w:r>
      <w:r w:rsidR="00D25A80">
        <w:rPr>
          <w:rFonts w:ascii="Arial" w:hAnsi="Arial" w:cs="Arial"/>
          <w:spacing w:val="-3"/>
          <w:lang w:val="es-AR"/>
        </w:rPr>
        <w:t xml:space="preserve">trimestre de </w:t>
      </w:r>
      <w:r w:rsidRPr="00485C1E">
        <w:rPr>
          <w:rFonts w:ascii="Arial" w:hAnsi="Arial" w:cs="Arial"/>
          <w:spacing w:val="-3"/>
          <w:lang w:val="es-AR"/>
        </w:rPr>
        <w:t>201</w:t>
      </w:r>
      <w:r w:rsidR="00D25A80">
        <w:rPr>
          <w:rFonts w:ascii="Arial" w:hAnsi="Arial" w:cs="Arial"/>
          <w:spacing w:val="-3"/>
          <w:lang w:val="es-AR"/>
        </w:rPr>
        <w:t>9</w:t>
      </w:r>
      <w:r w:rsidRPr="00485C1E">
        <w:rPr>
          <w:rFonts w:ascii="Arial" w:hAnsi="Arial" w:cs="Arial"/>
          <w:spacing w:val="-3"/>
          <w:lang w:val="es-AR"/>
        </w:rPr>
        <w:t xml:space="preserve"> </w:t>
      </w:r>
      <w:r w:rsidR="00F0735C" w:rsidRPr="00485C1E">
        <w:rPr>
          <w:rFonts w:ascii="Arial" w:hAnsi="Arial" w:cs="Arial"/>
          <w:spacing w:val="-3"/>
          <w:lang w:val="es-AR"/>
        </w:rPr>
        <w:t>ascendieron a</w:t>
      </w:r>
      <w:r w:rsidRPr="00485C1E">
        <w:rPr>
          <w:rFonts w:ascii="Arial" w:hAnsi="Arial" w:cs="Arial"/>
          <w:spacing w:val="-3"/>
          <w:lang w:val="es-AR"/>
        </w:rPr>
        <w:t xml:space="preserve"> </w:t>
      </w:r>
      <w:proofErr w:type="spellStart"/>
      <w:r w:rsidR="00F1646A" w:rsidRPr="00485C1E">
        <w:rPr>
          <w:rFonts w:ascii="Arial" w:hAnsi="Arial" w:cs="Arial"/>
          <w:spacing w:val="-3"/>
          <w:lang w:val="es-AR"/>
        </w:rPr>
        <w:t>Ps</w:t>
      </w:r>
      <w:proofErr w:type="spellEnd"/>
      <w:r w:rsidR="00F1646A" w:rsidRPr="00485C1E">
        <w:rPr>
          <w:rFonts w:ascii="Arial" w:hAnsi="Arial" w:cs="Arial"/>
          <w:spacing w:val="-3"/>
          <w:lang w:val="es-AR"/>
        </w:rPr>
        <w:t xml:space="preserve"> </w:t>
      </w:r>
      <w:r w:rsidR="009250D2">
        <w:rPr>
          <w:rFonts w:ascii="Arial" w:hAnsi="Arial" w:cs="Arial"/>
          <w:spacing w:val="-3"/>
          <w:lang w:val="es-AR"/>
        </w:rPr>
        <w:t>160,3</w:t>
      </w:r>
      <w:r w:rsidRPr="00485C1E">
        <w:rPr>
          <w:rFonts w:ascii="Arial" w:hAnsi="Arial" w:cs="Arial"/>
          <w:spacing w:val="-3"/>
          <w:lang w:val="es-AR"/>
        </w:rPr>
        <w:t xml:space="preserve"> </w:t>
      </w:r>
      <w:r w:rsidR="00563DD2" w:rsidRPr="00485C1E">
        <w:rPr>
          <w:rFonts w:ascii="Arial" w:hAnsi="Arial" w:cs="Arial"/>
          <w:spacing w:val="-3"/>
          <w:lang w:val="es-AR"/>
        </w:rPr>
        <w:t>MM</w:t>
      </w:r>
      <w:r w:rsidRPr="00485C1E">
        <w:rPr>
          <w:rFonts w:ascii="Arial" w:hAnsi="Arial" w:cs="Arial"/>
          <w:spacing w:val="-3"/>
          <w:lang w:val="es-AR"/>
        </w:rPr>
        <w:t xml:space="preserve">, un </w:t>
      </w:r>
      <w:r w:rsidR="00CF1EEB" w:rsidRPr="00485C1E">
        <w:rPr>
          <w:rFonts w:ascii="Arial" w:hAnsi="Arial" w:cs="Arial"/>
          <w:spacing w:val="-3"/>
          <w:lang w:val="es-AR"/>
        </w:rPr>
        <w:t>72,</w:t>
      </w:r>
      <w:r w:rsidR="009250D2">
        <w:rPr>
          <w:rFonts w:ascii="Arial" w:hAnsi="Arial" w:cs="Arial"/>
          <w:spacing w:val="-3"/>
          <w:lang w:val="es-AR"/>
        </w:rPr>
        <w:t>3</w:t>
      </w:r>
      <w:r w:rsidRPr="00485C1E">
        <w:rPr>
          <w:rFonts w:ascii="Arial" w:hAnsi="Arial" w:cs="Arial"/>
          <w:spacing w:val="-3"/>
          <w:lang w:val="es-AR"/>
        </w:rPr>
        <w:t xml:space="preserve">% </w:t>
      </w:r>
      <w:r w:rsidR="00C97082" w:rsidRPr="00485C1E">
        <w:rPr>
          <w:rFonts w:ascii="Arial" w:hAnsi="Arial" w:cs="Arial"/>
          <w:spacing w:val="-3"/>
          <w:lang w:val="es-AR"/>
        </w:rPr>
        <w:t>superiores</w:t>
      </w:r>
      <w:r w:rsidRPr="00485C1E">
        <w:rPr>
          <w:rFonts w:ascii="Arial" w:hAnsi="Arial" w:cs="Arial"/>
          <w:spacing w:val="-3"/>
          <w:lang w:val="es-AR"/>
        </w:rPr>
        <w:t xml:space="preserve"> </w:t>
      </w:r>
      <w:r w:rsidR="00D25A80">
        <w:rPr>
          <w:rFonts w:ascii="Arial" w:hAnsi="Arial" w:cs="Arial"/>
          <w:spacing w:val="-3"/>
          <w:lang w:val="es-AR"/>
        </w:rPr>
        <w:t xml:space="preserve">al </w:t>
      </w:r>
      <w:r w:rsidR="00966ADD">
        <w:rPr>
          <w:rFonts w:ascii="Arial" w:hAnsi="Arial" w:cs="Arial"/>
          <w:spacing w:val="-3"/>
          <w:lang w:val="es-AR"/>
        </w:rPr>
        <w:t xml:space="preserve">segundo </w:t>
      </w:r>
      <w:r w:rsidR="00D25A80">
        <w:rPr>
          <w:rFonts w:ascii="Arial" w:hAnsi="Arial" w:cs="Arial"/>
          <w:spacing w:val="-3"/>
          <w:lang w:val="es-AR"/>
        </w:rPr>
        <w:t>trimestre de 2018.</w:t>
      </w:r>
    </w:p>
    <w:p w14:paraId="5346C1FA" w14:textId="2B1086EA" w:rsidR="00D25A80" w:rsidRPr="00203CD8" w:rsidRDefault="00316196" w:rsidP="00B50ABC">
      <w:pPr>
        <w:pStyle w:val="BodyText"/>
        <w:numPr>
          <w:ilvl w:val="0"/>
          <w:numId w:val="5"/>
        </w:numPr>
        <w:spacing w:after="240" w:line="288" w:lineRule="auto"/>
        <w:ind w:left="284" w:hanging="284"/>
        <w:jc w:val="both"/>
        <w:rPr>
          <w:rFonts w:ascii="Arial" w:hAnsi="Arial" w:cs="Arial"/>
          <w:spacing w:val="-3"/>
          <w:lang w:val="es-AR"/>
        </w:rPr>
      </w:pPr>
      <w:r w:rsidRPr="00203CD8">
        <w:rPr>
          <w:rFonts w:ascii="Arial" w:hAnsi="Arial" w:cs="Arial"/>
          <w:spacing w:val="-3"/>
          <w:lang w:val="es-AR"/>
        </w:rPr>
        <w:t>En el</w:t>
      </w:r>
      <w:r w:rsidR="00D25A80" w:rsidRPr="00203CD8">
        <w:rPr>
          <w:rFonts w:ascii="Arial" w:hAnsi="Arial" w:cs="Arial"/>
          <w:spacing w:val="-3"/>
          <w:lang w:val="es-AR"/>
        </w:rPr>
        <w:t xml:space="preserve"> </w:t>
      </w:r>
      <w:r w:rsidR="00966ADD" w:rsidRPr="00203CD8">
        <w:rPr>
          <w:rFonts w:ascii="Arial" w:hAnsi="Arial" w:cs="Arial"/>
          <w:spacing w:val="-3"/>
          <w:lang w:val="es-AR"/>
        </w:rPr>
        <w:t xml:space="preserve">segundo </w:t>
      </w:r>
      <w:r w:rsidR="00D25A80" w:rsidRPr="00203CD8">
        <w:rPr>
          <w:rFonts w:ascii="Arial" w:hAnsi="Arial" w:cs="Arial"/>
          <w:spacing w:val="-3"/>
          <w:lang w:val="es-AR"/>
        </w:rPr>
        <w:t>trimestre de 2019</w:t>
      </w:r>
      <w:r w:rsidRPr="00203CD8">
        <w:rPr>
          <w:rFonts w:ascii="Arial" w:hAnsi="Arial" w:cs="Arial"/>
          <w:spacing w:val="-3"/>
          <w:lang w:val="es-AR"/>
        </w:rPr>
        <w:t xml:space="preserve">, </w:t>
      </w:r>
      <w:r w:rsidR="00586398" w:rsidRPr="00203CD8">
        <w:rPr>
          <w:rFonts w:ascii="Arial" w:hAnsi="Arial" w:cs="Arial"/>
          <w:spacing w:val="-3"/>
          <w:lang w:val="es-AR"/>
        </w:rPr>
        <w:t>el resultado</w:t>
      </w:r>
      <w:r w:rsidRPr="00203CD8">
        <w:rPr>
          <w:rFonts w:ascii="Arial" w:hAnsi="Arial" w:cs="Arial"/>
          <w:spacing w:val="-3"/>
          <w:lang w:val="es-AR"/>
        </w:rPr>
        <w:t xml:space="preserve"> </w:t>
      </w:r>
      <w:r w:rsidR="00586398" w:rsidRPr="00203CD8">
        <w:rPr>
          <w:rFonts w:ascii="Arial" w:hAnsi="Arial" w:cs="Arial"/>
          <w:spacing w:val="-3"/>
          <w:lang w:val="es-AR"/>
        </w:rPr>
        <w:t>operativ</w:t>
      </w:r>
      <w:r w:rsidR="00535BFB" w:rsidRPr="00203CD8">
        <w:rPr>
          <w:rFonts w:ascii="Arial" w:hAnsi="Arial" w:cs="Arial"/>
          <w:spacing w:val="-3"/>
          <w:lang w:val="es-AR"/>
        </w:rPr>
        <w:t xml:space="preserve">o </w:t>
      </w:r>
      <w:r w:rsidRPr="00203CD8">
        <w:rPr>
          <w:rFonts w:ascii="Arial" w:hAnsi="Arial" w:cs="Arial"/>
          <w:spacing w:val="-3"/>
          <w:lang w:val="es-AR"/>
        </w:rPr>
        <w:t xml:space="preserve">alcanzó los </w:t>
      </w:r>
      <w:proofErr w:type="spellStart"/>
      <w:r w:rsidR="00563DD2" w:rsidRPr="00203CD8">
        <w:rPr>
          <w:rFonts w:ascii="Arial" w:hAnsi="Arial" w:cs="Arial"/>
          <w:spacing w:val="-3"/>
          <w:lang w:val="es-AR"/>
        </w:rPr>
        <w:t>Ps</w:t>
      </w:r>
      <w:proofErr w:type="spellEnd"/>
      <w:r w:rsidR="00563DD2" w:rsidRPr="00203CD8">
        <w:rPr>
          <w:rFonts w:ascii="Arial" w:hAnsi="Arial" w:cs="Arial"/>
          <w:spacing w:val="-3"/>
          <w:lang w:val="es-AR"/>
        </w:rPr>
        <w:t xml:space="preserve"> </w:t>
      </w:r>
      <w:r w:rsidR="009250D2" w:rsidRPr="00203CD8">
        <w:rPr>
          <w:rFonts w:ascii="Arial" w:hAnsi="Arial" w:cs="Arial"/>
          <w:spacing w:val="-3"/>
          <w:lang w:val="es-AR"/>
        </w:rPr>
        <w:t xml:space="preserve">7,2 </w:t>
      </w:r>
      <w:r w:rsidR="00563DD2" w:rsidRPr="00203CD8">
        <w:rPr>
          <w:rFonts w:ascii="Arial" w:hAnsi="Arial" w:cs="Arial"/>
          <w:spacing w:val="-3"/>
          <w:lang w:val="es-AR"/>
        </w:rPr>
        <w:t>MM</w:t>
      </w:r>
      <w:r w:rsidRPr="00203CD8">
        <w:rPr>
          <w:rFonts w:ascii="Arial" w:hAnsi="Arial" w:cs="Arial"/>
          <w:spacing w:val="-3"/>
          <w:lang w:val="es-AR"/>
        </w:rPr>
        <w:t xml:space="preserve">, un </w:t>
      </w:r>
      <w:r w:rsidR="009250D2" w:rsidRPr="00203CD8">
        <w:rPr>
          <w:rFonts w:ascii="Arial" w:hAnsi="Arial" w:cs="Arial"/>
          <w:spacing w:val="-3"/>
          <w:lang w:val="es-AR"/>
        </w:rPr>
        <w:t>310,5</w:t>
      </w:r>
      <w:r w:rsidRPr="00203CD8">
        <w:rPr>
          <w:rFonts w:ascii="Arial" w:hAnsi="Arial" w:cs="Arial"/>
          <w:spacing w:val="-3"/>
          <w:lang w:val="es-AR"/>
        </w:rPr>
        <w:t xml:space="preserve">% </w:t>
      </w:r>
      <w:r w:rsidR="009250D2" w:rsidRPr="00203CD8">
        <w:rPr>
          <w:rFonts w:ascii="Arial" w:hAnsi="Arial" w:cs="Arial"/>
          <w:spacing w:val="-3"/>
          <w:lang w:val="es-AR"/>
        </w:rPr>
        <w:t>superior</w:t>
      </w:r>
      <w:r w:rsidR="00DE7137" w:rsidRPr="00203CD8">
        <w:rPr>
          <w:rFonts w:ascii="Arial" w:hAnsi="Arial" w:cs="Arial"/>
          <w:spacing w:val="-3"/>
          <w:lang w:val="es-AR"/>
        </w:rPr>
        <w:t xml:space="preserve"> </w:t>
      </w:r>
      <w:r w:rsidRPr="00203CD8">
        <w:rPr>
          <w:rFonts w:ascii="Arial" w:hAnsi="Arial" w:cs="Arial"/>
          <w:spacing w:val="-3"/>
          <w:lang w:val="es-AR"/>
        </w:rPr>
        <w:t>respecto a</w:t>
      </w:r>
      <w:r w:rsidR="00886A96" w:rsidRPr="00203CD8">
        <w:rPr>
          <w:rFonts w:ascii="Arial" w:hAnsi="Arial" w:cs="Arial"/>
          <w:spacing w:val="-3"/>
          <w:lang w:val="es-AR"/>
        </w:rPr>
        <w:t>l resultado operativo</w:t>
      </w:r>
      <w:r w:rsidR="00535BFB" w:rsidRPr="00203CD8">
        <w:rPr>
          <w:rFonts w:ascii="Arial" w:hAnsi="Arial" w:cs="Arial"/>
          <w:spacing w:val="-3"/>
          <w:lang w:val="es-AR"/>
        </w:rPr>
        <w:t xml:space="preserve"> </w:t>
      </w:r>
      <w:r w:rsidR="00886A96" w:rsidRPr="00203CD8">
        <w:rPr>
          <w:rFonts w:ascii="Arial" w:hAnsi="Arial" w:cs="Arial"/>
          <w:spacing w:val="-3"/>
          <w:lang w:val="es-AR"/>
        </w:rPr>
        <w:t>del</w:t>
      </w:r>
      <w:r w:rsidR="00D25A80" w:rsidRPr="00203CD8">
        <w:rPr>
          <w:rFonts w:ascii="Arial" w:hAnsi="Arial" w:cs="Arial"/>
          <w:spacing w:val="-3"/>
          <w:lang w:val="es-AR"/>
        </w:rPr>
        <w:t xml:space="preserve"> </w:t>
      </w:r>
      <w:r w:rsidR="00966ADD" w:rsidRPr="00203CD8">
        <w:rPr>
          <w:rFonts w:ascii="Arial" w:hAnsi="Arial" w:cs="Arial"/>
          <w:spacing w:val="-3"/>
          <w:lang w:val="es-AR"/>
        </w:rPr>
        <w:t>segundo</w:t>
      </w:r>
      <w:r w:rsidR="00D25A80" w:rsidRPr="00203CD8">
        <w:rPr>
          <w:rFonts w:ascii="Arial" w:hAnsi="Arial" w:cs="Arial"/>
          <w:spacing w:val="-3"/>
          <w:lang w:val="es-AR"/>
        </w:rPr>
        <w:t xml:space="preserve"> trimestre de 2018</w:t>
      </w:r>
      <w:r w:rsidR="00C97082" w:rsidRPr="00203CD8">
        <w:rPr>
          <w:rFonts w:ascii="Arial" w:hAnsi="Arial" w:cs="Arial"/>
          <w:spacing w:val="-3"/>
          <w:lang w:val="es-AR"/>
        </w:rPr>
        <w:t>.</w:t>
      </w:r>
      <w:r w:rsidRPr="00203CD8">
        <w:rPr>
          <w:rFonts w:ascii="Arial" w:hAnsi="Arial" w:cs="Arial"/>
          <w:spacing w:val="-3"/>
          <w:lang w:val="es-AR"/>
        </w:rPr>
        <w:t xml:space="preserve"> </w:t>
      </w:r>
      <w:r w:rsidR="00C97082" w:rsidRPr="00203CD8">
        <w:rPr>
          <w:rFonts w:ascii="Arial" w:hAnsi="Arial" w:cs="Arial"/>
          <w:spacing w:val="-3"/>
          <w:lang w:val="es-AR"/>
        </w:rPr>
        <w:t xml:space="preserve">Por su parte, </w:t>
      </w:r>
      <w:r w:rsidRPr="00203CD8">
        <w:rPr>
          <w:rFonts w:ascii="Arial" w:hAnsi="Arial" w:cs="Arial"/>
          <w:spacing w:val="-3"/>
          <w:lang w:val="es-AR"/>
        </w:rPr>
        <w:t xml:space="preserve">el EBITDA </w:t>
      </w:r>
      <w:r w:rsidR="009E5609" w:rsidRPr="00203CD8">
        <w:rPr>
          <w:rFonts w:ascii="Arial" w:hAnsi="Arial" w:cs="Arial"/>
          <w:spacing w:val="-3"/>
          <w:lang w:val="es-AR"/>
        </w:rPr>
        <w:t xml:space="preserve">Ajustado </w:t>
      </w:r>
      <w:r w:rsidR="00966ADD" w:rsidRPr="00203CD8">
        <w:rPr>
          <w:rFonts w:ascii="Arial" w:hAnsi="Arial" w:cs="Arial"/>
          <w:spacing w:val="-3"/>
          <w:lang w:val="es-AR"/>
        </w:rPr>
        <w:t xml:space="preserve">para el segundo trimestre del </w:t>
      </w:r>
      <w:r w:rsidRPr="00203CD8">
        <w:rPr>
          <w:rFonts w:ascii="Arial" w:hAnsi="Arial" w:cs="Arial"/>
          <w:spacing w:val="-3"/>
          <w:lang w:val="es-AR"/>
        </w:rPr>
        <w:t>año 201</w:t>
      </w:r>
      <w:r w:rsidR="00D25A80" w:rsidRPr="00203CD8">
        <w:rPr>
          <w:rFonts w:ascii="Arial" w:hAnsi="Arial" w:cs="Arial"/>
          <w:spacing w:val="-3"/>
          <w:lang w:val="es-AR"/>
        </w:rPr>
        <w:t>9</w:t>
      </w:r>
      <w:r w:rsidRPr="00203CD8">
        <w:rPr>
          <w:rFonts w:ascii="Arial" w:hAnsi="Arial" w:cs="Arial"/>
          <w:spacing w:val="-3"/>
          <w:lang w:val="es-AR"/>
        </w:rPr>
        <w:t xml:space="preserve"> </w:t>
      </w:r>
      <w:r w:rsidR="008D48F6" w:rsidRPr="00203CD8">
        <w:rPr>
          <w:rFonts w:ascii="Arial" w:hAnsi="Arial" w:cs="Arial"/>
          <w:spacing w:val="-3"/>
          <w:lang w:val="es-AR"/>
        </w:rPr>
        <w:t xml:space="preserve">alcanzó los </w:t>
      </w:r>
      <w:proofErr w:type="spellStart"/>
      <w:r w:rsidR="00563DD2" w:rsidRPr="00203CD8">
        <w:rPr>
          <w:rFonts w:ascii="Arial" w:hAnsi="Arial" w:cs="Arial"/>
          <w:spacing w:val="-3"/>
          <w:lang w:val="es-AR"/>
        </w:rPr>
        <w:t>Ps</w:t>
      </w:r>
      <w:proofErr w:type="spellEnd"/>
      <w:r w:rsidRPr="00203CD8">
        <w:rPr>
          <w:rFonts w:ascii="Arial" w:hAnsi="Arial" w:cs="Arial"/>
          <w:spacing w:val="-3"/>
          <w:lang w:val="es-AR"/>
        </w:rPr>
        <w:t xml:space="preserve"> </w:t>
      </w:r>
      <w:r w:rsidR="00203CD8" w:rsidRPr="00203CD8">
        <w:rPr>
          <w:rFonts w:ascii="Arial" w:hAnsi="Arial" w:cs="Arial"/>
          <w:spacing w:val="-3"/>
          <w:lang w:val="es-AR"/>
        </w:rPr>
        <w:t>41,6</w:t>
      </w:r>
      <w:r w:rsidR="00DE7137" w:rsidRPr="00203CD8">
        <w:rPr>
          <w:rFonts w:ascii="Arial" w:hAnsi="Arial" w:cs="Arial"/>
          <w:spacing w:val="-3"/>
          <w:lang w:val="es-AR"/>
        </w:rPr>
        <w:t xml:space="preserve"> </w:t>
      </w:r>
      <w:r w:rsidR="00563DD2" w:rsidRPr="00203CD8">
        <w:rPr>
          <w:rFonts w:ascii="Arial" w:hAnsi="Arial" w:cs="Arial"/>
          <w:spacing w:val="-3"/>
          <w:lang w:val="es-AR"/>
        </w:rPr>
        <w:t>MM</w:t>
      </w:r>
      <w:r w:rsidRPr="00203CD8">
        <w:rPr>
          <w:rFonts w:ascii="Arial" w:hAnsi="Arial" w:cs="Arial"/>
          <w:spacing w:val="-3"/>
          <w:lang w:val="es-AR"/>
        </w:rPr>
        <w:t xml:space="preserve">, siendo un </w:t>
      </w:r>
      <w:r w:rsidR="00203CD8" w:rsidRPr="00203CD8">
        <w:rPr>
          <w:rFonts w:ascii="Arial" w:hAnsi="Arial" w:cs="Arial"/>
          <w:spacing w:val="-3"/>
          <w:lang w:val="es-AR"/>
        </w:rPr>
        <w:t>67,8</w:t>
      </w:r>
      <w:r w:rsidRPr="00203CD8">
        <w:rPr>
          <w:rFonts w:ascii="Arial" w:hAnsi="Arial" w:cs="Arial"/>
          <w:spacing w:val="-3"/>
          <w:lang w:val="es-AR"/>
        </w:rPr>
        <w:t>% m</w:t>
      </w:r>
      <w:r w:rsidR="004A4EBB" w:rsidRPr="00203CD8">
        <w:rPr>
          <w:rFonts w:ascii="Arial" w:hAnsi="Arial" w:cs="Arial"/>
          <w:spacing w:val="-3"/>
          <w:lang w:val="es-AR"/>
        </w:rPr>
        <w:t>ayor</w:t>
      </w:r>
      <w:r w:rsidRPr="00203CD8">
        <w:rPr>
          <w:rFonts w:ascii="Arial" w:hAnsi="Arial" w:cs="Arial"/>
          <w:spacing w:val="-3"/>
          <w:lang w:val="es-AR"/>
        </w:rPr>
        <w:t xml:space="preserve"> que el EBITDA </w:t>
      </w:r>
      <w:r w:rsidR="00D248CE" w:rsidRPr="00203CD8">
        <w:rPr>
          <w:rFonts w:ascii="Arial" w:hAnsi="Arial" w:cs="Arial"/>
          <w:spacing w:val="-3"/>
          <w:lang w:val="es-AR"/>
        </w:rPr>
        <w:t xml:space="preserve">Ajustado </w:t>
      </w:r>
      <w:r w:rsidR="00966ADD" w:rsidRPr="00203CD8">
        <w:rPr>
          <w:rFonts w:ascii="Arial" w:hAnsi="Arial" w:cs="Arial"/>
          <w:spacing w:val="-3"/>
          <w:lang w:val="es-AR"/>
        </w:rPr>
        <w:t xml:space="preserve">del segundo trimestre </w:t>
      </w:r>
      <w:r w:rsidR="006C40EF" w:rsidRPr="00203CD8">
        <w:rPr>
          <w:rFonts w:ascii="Arial" w:hAnsi="Arial" w:cs="Arial"/>
          <w:spacing w:val="-3"/>
          <w:lang w:val="es-AR"/>
        </w:rPr>
        <w:t>del</w:t>
      </w:r>
      <w:r w:rsidR="00C97082" w:rsidRPr="00203CD8">
        <w:rPr>
          <w:rFonts w:ascii="Arial" w:hAnsi="Arial" w:cs="Arial"/>
          <w:spacing w:val="-3"/>
          <w:lang w:val="es-AR"/>
        </w:rPr>
        <w:t xml:space="preserve"> año </w:t>
      </w:r>
      <w:r w:rsidRPr="00203CD8">
        <w:rPr>
          <w:rFonts w:ascii="Arial" w:hAnsi="Arial" w:cs="Arial"/>
          <w:spacing w:val="-3"/>
          <w:lang w:val="es-AR"/>
        </w:rPr>
        <w:t>201</w:t>
      </w:r>
      <w:r w:rsidR="00D25A80" w:rsidRPr="00203CD8">
        <w:rPr>
          <w:rFonts w:ascii="Arial" w:hAnsi="Arial" w:cs="Arial"/>
          <w:spacing w:val="-3"/>
          <w:lang w:val="es-AR"/>
        </w:rPr>
        <w:t>8</w:t>
      </w:r>
      <w:r w:rsidRPr="00203CD8">
        <w:rPr>
          <w:rFonts w:ascii="Arial" w:hAnsi="Arial" w:cs="Arial"/>
          <w:spacing w:val="-3"/>
          <w:lang w:val="es-AR"/>
        </w:rPr>
        <w:t xml:space="preserve">. </w:t>
      </w:r>
    </w:p>
    <w:p w14:paraId="0835ADAF" w14:textId="4B1FDB6D" w:rsidR="00214DC9" w:rsidRPr="00163CF5" w:rsidRDefault="00316196" w:rsidP="00485C1E">
      <w:pPr>
        <w:pStyle w:val="BodyText"/>
        <w:numPr>
          <w:ilvl w:val="0"/>
          <w:numId w:val="5"/>
        </w:numPr>
        <w:spacing w:after="240" w:line="288" w:lineRule="auto"/>
        <w:ind w:left="284" w:hanging="284"/>
        <w:jc w:val="both"/>
        <w:rPr>
          <w:rFonts w:ascii="Arial" w:hAnsi="Arial" w:cs="Arial"/>
          <w:spacing w:val="-3"/>
          <w:lang w:val="es-AR"/>
        </w:rPr>
      </w:pPr>
      <w:r w:rsidRPr="00163CF5">
        <w:rPr>
          <w:rFonts w:ascii="Arial" w:hAnsi="Arial" w:cs="Arial"/>
          <w:spacing w:val="-3"/>
          <w:lang w:val="es-AR"/>
        </w:rPr>
        <w:t xml:space="preserve">El flujo de caja operativo ascendió a los </w:t>
      </w:r>
      <w:proofErr w:type="spellStart"/>
      <w:r w:rsidR="00563DD2" w:rsidRPr="00163CF5">
        <w:rPr>
          <w:rFonts w:ascii="Arial" w:hAnsi="Arial" w:cs="Arial"/>
          <w:spacing w:val="-3"/>
          <w:lang w:val="es-AR"/>
        </w:rPr>
        <w:t>Ps</w:t>
      </w:r>
      <w:proofErr w:type="spellEnd"/>
      <w:r w:rsidR="00563DD2" w:rsidRPr="00163CF5">
        <w:rPr>
          <w:rFonts w:ascii="Arial" w:hAnsi="Arial" w:cs="Arial"/>
          <w:spacing w:val="-3"/>
          <w:lang w:val="es-AR"/>
        </w:rPr>
        <w:t xml:space="preserve"> </w:t>
      </w:r>
      <w:r w:rsidR="00AD5FE1">
        <w:rPr>
          <w:rFonts w:ascii="Arial" w:hAnsi="Arial" w:cs="Arial"/>
          <w:spacing w:val="-3"/>
          <w:lang w:val="es-AR"/>
        </w:rPr>
        <w:t>40,7</w:t>
      </w:r>
      <w:r w:rsidR="0021347D" w:rsidRPr="00163CF5">
        <w:rPr>
          <w:rFonts w:ascii="Arial" w:hAnsi="Arial" w:cs="Arial"/>
          <w:spacing w:val="-3"/>
          <w:lang w:val="es-AR"/>
        </w:rPr>
        <w:t xml:space="preserve"> </w:t>
      </w:r>
      <w:r w:rsidR="00563DD2" w:rsidRPr="00163CF5">
        <w:rPr>
          <w:rFonts w:ascii="Arial" w:hAnsi="Arial" w:cs="Arial"/>
          <w:spacing w:val="-3"/>
          <w:lang w:val="es-AR"/>
        </w:rPr>
        <w:t>MM</w:t>
      </w:r>
      <w:r w:rsidR="006C40EF" w:rsidRPr="00163CF5">
        <w:rPr>
          <w:rFonts w:ascii="Arial" w:hAnsi="Arial" w:cs="Arial"/>
          <w:spacing w:val="-3"/>
          <w:lang w:val="es-AR"/>
        </w:rPr>
        <w:t xml:space="preserve"> para </w:t>
      </w:r>
      <w:r w:rsidR="00241A3E" w:rsidRPr="00163CF5">
        <w:rPr>
          <w:rFonts w:ascii="Arial" w:hAnsi="Arial" w:cs="Arial"/>
          <w:spacing w:val="-3"/>
          <w:lang w:val="es-AR"/>
        </w:rPr>
        <w:t xml:space="preserve">el </w:t>
      </w:r>
      <w:r w:rsidR="00966ADD" w:rsidRPr="00163CF5">
        <w:rPr>
          <w:rFonts w:ascii="Arial" w:hAnsi="Arial" w:cs="Arial"/>
          <w:spacing w:val="-3"/>
          <w:lang w:val="es-AR"/>
        </w:rPr>
        <w:t xml:space="preserve">segundo </w:t>
      </w:r>
      <w:r w:rsidR="00241A3E" w:rsidRPr="00163CF5">
        <w:rPr>
          <w:rFonts w:ascii="Arial" w:hAnsi="Arial" w:cs="Arial"/>
          <w:spacing w:val="-3"/>
          <w:lang w:val="es-AR"/>
        </w:rPr>
        <w:t xml:space="preserve">trimestre de </w:t>
      </w:r>
      <w:r w:rsidRPr="00163CF5">
        <w:rPr>
          <w:rFonts w:ascii="Arial" w:hAnsi="Arial" w:cs="Arial"/>
          <w:spacing w:val="-3"/>
          <w:lang w:val="es-AR"/>
        </w:rPr>
        <w:t>201</w:t>
      </w:r>
      <w:r w:rsidR="00241A3E" w:rsidRPr="00163CF5">
        <w:rPr>
          <w:rFonts w:ascii="Arial" w:hAnsi="Arial" w:cs="Arial"/>
          <w:spacing w:val="-3"/>
          <w:lang w:val="es-AR"/>
        </w:rPr>
        <w:t>9</w:t>
      </w:r>
      <w:r w:rsidRPr="00163CF5">
        <w:rPr>
          <w:rFonts w:ascii="Arial" w:hAnsi="Arial" w:cs="Arial"/>
          <w:spacing w:val="-3"/>
          <w:lang w:val="es-AR"/>
        </w:rPr>
        <w:t xml:space="preserve">, </w:t>
      </w:r>
      <w:r w:rsidR="009250D2" w:rsidRPr="00163CF5">
        <w:rPr>
          <w:rFonts w:ascii="Arial" w:hAnsi="Arial" w:cs="Arial"/>
          <w:spacing w:val="-3"/>
          <w:lang w:val="es-AR"/>
        </w:rPr>
        <w:t>siendo é</w:t>
      </w:r>
      <w:r w:rsidR="00BE0CA5" w:rsidRPr="00163CF5">
        <w:rPr>
          <w:rFonts w:ascii="Arial" w:hAnsi="Arial" w:cs="Arial"/>
          <w:spacing w:val="-3"/>
          <w:lang w:val="es-AR"/>
        </w:rPr>
        <w:t>ste un</w:t>
      </w:r>
      <w:r w:rsidRPr="00163CF5">
        <w:rPr>
          <w:rFonts w:ascii="Arial" w:hAnsi="Arial" w:cs="Arial"/>
          <w:spacing w:val="-3"/>
          <w:lang w:val="es-AR"/>
        </w:rPr>
        <w:t xml:space="preserve"> </w:t>
      </w:r>
      <w:r w:rsidR="00AD5FE1">
        <w:rPr>
          <w:rFonts w:ascii="Arial" w:hAnsi="Arial" w:cs="Arial"/>
          <w:spacing w:val="-3"/>
          <w:lang w:val="es-AR"/>
        </w:rPr>
        <w:t>47,6</w:t>
      </w:r>
      <w:r w:rsidRPr="00163CF5">
        <w:rPr>
          <w:rFonts w:ascii="Arial" w:hAnsi="Arial" w:cs="Arial"/>
          <w:spacing w:val="-3"/>
          <w:lang w:val="es-AR"/>
        </w:rPr>
        <w:t>%</w:t>
      </w:r>
      <w:r w:rsidR="00BE0CA5" w:rsidRPr="00163CF5">
        <w:rPr>
          <w:rFonts w:ascii="Arial" w:hAnsi="Arial" w:cs="Arial"/>
          <w:spacing w:val="-3"/>
          <w:lang w:val="es-AR"/>
        </w:rPr>
        <w:t xml:space="preserve"> </w:t>
      </w:r>
      <w:r w:rsidR="00791E00" w:rsidRPr="00163CF5">
        <w:rPr>
          <w:rFonts w:ascii="Arial" w:hAnsi="Arial" w:cs="Arial"/>
          <w:spacing w:val="-3"/>
          <w:lang w:val="es-AR"/>
        </w:rPr>
        <w:t>superior</w:t>
      </w:r>
      <w:r w:rsidRPr="00163CF5">
        <w:rPr>
          <w:rFonts w:ascii="Arial" w:hAnsi="Arial" w:cs="Arial"/>
          <w:spacing w:val="-3"/>
          <w:lang w:val="es-AR"/>
        </w:rPr>
        <w:t xml:space="preserve"> a los </w:t>
      </w:r>
      <w:proofErr w:type="spellStart"/>
      <w:r w:rsidR="00563DD2" w:rsidRPr="00163CF5">
        <w:rPr>
          <w:rFonts w:ascii="Arial" w:hAnsi="Arial" w:cs="Arial"/>
          <w:spacing w:val="-3"/>
          <w:lang w:val="es-AR"/>
        </w:rPr>
        <w:t>Ps</w:t>
      </w:r>
      <w:proofErr w:type="spellEnd"/>
      <w:r w:rsidR="00563DD2" w:rsidRPr="00163CF5">
        <w:rPr>
          <w:rFonts w:ascii="Arial" w:hAnsi="Arial" w:cs="Arial"/>
          <w:spacing w:val="-3"/>
          <w:lang w:val="es-AR"/>
        </w:rPr>
        <w:t xml:space="preserve"> </w:t>
      </w:r>
      <w:r w:rsidR="00163CF5" w:rsidRPr="00163CF5">
        <w:rPr>
          <w:rFonts w:ascii="Arial" w:hAnsi="Arial" w:cs="Arial"/>
          <w:spacing w:val="-3"/>
          <w:lang w:val="es-AR"/>
        </w:rPr>
        <w:t>27,6</w:t>
      </w:r>
      <w:r w:rsidR="0029031F" w:rsidRPr="00163CF5">
        <w:rPr>
          <w:rFonts w:ascii="Arial" w:hAnsi="Arial" w:cs="Arial"/>
          <w:spacing w:val="-3"/>
          <w:lang w:val="es-AR"/>
        </w:rPr>
        <w:t xml:space="preserve"> </w:t>
      </w:r>
      <w:r w:rsidR="00563DD2" w:rsidRPr="00163CF5">
        <w:rPr>
          <w:rFonts w:ascii="Arial" w:hAnsi="Arial" w:cs="Arial"/>
          <w:spacing w:val="-3"/>
          <w:lang w:val="es-AR"/>
        </w:rPr>
        <w:t>MM</w:t>
      </w:r>
      <w:r w:rsidRPr="00163CF5">
        <w:rPr>
          <w:rFonts w:ascii="Arial" w:hAnsi="Arial" w:cs="Arial"/>
          <w:spacing w:val="-3"/>
          <w:lang w:val="es-AR"/>
        </w:rPr>
        <w:t xml:space="preserve"> reportados para el </w:t>
      </w:r>
      <w:r w:rsidR="00966ADD" w:rsidRPr="00163CF5">
        <w:rPr>
          <w:rFonts w:ascii="Arial" w:hAnsi="Arial" w:cs="Arial"/>
          <w:spacing w:val="-3"/>
          <w:lang w:val="es-AR"/>
        </w:rPr>
        <w:t xml:space="preserve">segundo </w:t>
      </w:r>
      <w:r w:rsidR="00241A3E" w:rsidRPr="00163CF5">
        <w:rPr>
          <w:rFonts w:ascii="Arial" w:hAnsi="Arial" w:cs="Arial"/>
          <w:spacing w:val="-3"/>
          <w:lang w:val="es-AR"/>
        </w:rPr>
        <w:t xml:space="preserve">trimestre de </w:t>
      </w:r>
      <w:r w:rsidRPr="00163CF5">
        <w:rPr>
          <w:rFonts w:ascii="Arial" w:hAnsi="Arial" w:cs="Arial"/>
          <w:spacing w:val="-3"/>
          <w:lang w:val="es-AR"/>
        </w:rPr>
        <w:t>201</w:t>
      </w:r>
      <w:r w:rsidR="00241A3E" w:rsidRPr="00163CF5">
        <w:rPr>
          <w:rFonts w:ascii="Arial" w:hAnsi="Arial" w:cs="Arial"/>
          <w:spacing w:val="-3"/>
          <w:lang w:val="es-AR"/>
        </w:rPr>
        <w:t>8</w:t>
      </w:r>
      <w:r w:rsidR="004B3F5B" w:rsidRPr="00163CF5">
        <w:rPr>
          <w:rFonts w:ascii="Arial" w:hAnsi="Arial" w:cs="Arial"/>
          <w:spacing w:val="-3"/>
          <w:lang w:val="es-AR"/>
        </w:rPr>
        <w:t>.</w:t>
      </w:r>
    </w:p>
    <w:p w14:paraId="0B7491F5" w14:textId="40B0FC10" w:rsidR="00B50ABC" w:rsidRPr="00B50ABC" w:rsidRDefault="00B50ABC" w:rsidP="00B50ABC">
      <w:pPr>
        <w:pStyle w:val="BodyText"/>
        <w:numPr>
          <w:ilvl w:val="0"/>
          <w:numId w:val="5"/>
        </w:numPr>
        <w:spacing w:after="240" w:line="288" w:lineRule="auto"/>
        <w:ind w:left="284" w:hanging="284"/>
        <w:jc w:val="both"/>
        <w:rPr>
          <w:rFonts w:ascii="Arial" w:hAnsi="Arial" w:cs="Arial"/>
          <w:spacing w:val="-3"/>
          <w:lang w:val="es-AR"/>
        </w:rPr>
      </w:pPr>
      <w:r w:rsidRPr="00485C1E">
        <w:rPr>
          <w:rFonts w:ascii="Arial" w:hAnsi="Arial" w:cs="Arial"/>
          <w:spacing w:val="-3"/>
          <w:lang w:val="es-AR"/>
        </w:rPr>
        <w:t xml:space="preserve">En cuanto a las inversiones totales en propiedades, planta y equipo, se incrementaron en </w:t>
      </w:r>
      <w:r w:rsidR="009250D2">
        <w:rPr>
          <w:rFonts w:ascii="Arial" w:hAnsi="Arial" w:cs="Arial"/>
          <w:spacing w:val="-3"/>
          <w:lang w:val="es-AR"/>
        </w:rPr>
        <w:t xml:space="preserve">un 107,3%, alcanzando los </w:t>
      </w:r>
      <w:proofErr w:type="spellStart"/>
      <w:r w:rsidR="009250D2">
        <w:rPr>
          <w:rFonts w:ascii="Arial" w:hAnsi="Arial" w:cs="Arial"/>
          <w:spacing w:val="-3"/>
          <w:lang w:val="es-AR"/>
        </w:rPr>
        <w:t>Ps</w:t>
      </w:r>
      <w:proofErr w:type="spellEnd"/>
      <w:r w:rsidR="009250D2">
        <w:rPr>
          <w:rFonts w:ascii="Arial" w:hAnsi="Arial" w:cs="Arial"/>
          <w:spacing w:val="-3"/>
          <w:lang w:val="es-AR"/>
        </w:rPr>
        <w:t xml:space="preserve"> 40,1</w:t>
      </w:r>
      <w:r w:rsidRPr="00485C1E">
        <w:rPr>
          <w:rFonts w:ascii="Arial" w:hAnsi="Arial" w:cs="Arial"/>
          <w:spacing w:val="-3"/>
          <w:lang w:val="es-AR"/>
        </w:rPr>
        <w:t xml:space="preserve"> MM</w:t>
      </w:r>
      <w:r>
        <w:rPr>
          <w:rFonts w:ascii="Arial" w:hAnsi="Arial" w:cs="Arial"/>
          <w:spacing w:val="-3"/>
          <w:lang w:val="es-AR"/>
        </w:rPr>
        <w:t xml:space="preserve"> en el </w:t>
      </w:r>
      <w:r w:rsidR="00966ADD">
        <w:rPr>
          <w:rFonts w:ascii="Arial" w:hAnsi="Arial" w:cs="Arial"/>
          <w:spacing w:val="-3"/>
          <w:lang w:val="es-AR"/>
        </w:rPr>
        <w:t>segundo</w:t>
      </w:r>
      <w:r>
        <w:rPr>
          <w:rFonts w:ascii="Arial" w:hAnsi="Arial" w:cs="Arial"/>
          <w:spacing w:val="-3"/>
          <w:lang w:val="es-AR"/>
        </w:rPr>
        <w:t xml:space="preserve"> trimestre de 2019.</w:t>
      </w:r>
    </w:p>
    <w:p w14:paraId="20CF18BA" w14:textId="34E401D3" w:rsidR="00FE655E" w:rsidRDefault="00316196" w:rsidP="00FE655E">
      <w:pPr>
        <w:pStyle w:val="BodyText"/>
        <w:numPr>
          <w:ilvl w:val="0"/>
          <w:numId w:val="5"/>
        </w:numPr>
        <w:spacing w:after="240" w:line="288" w:lineRule="auto"/>
        <w:ind w:left="284" w:hanging="284"/>
        <w:jc w:val="both"/>
        <w:rPr>
          <w:rFonts w:ascii="Arial" w:hAnsi="Arial" w:cs="Arial"/>
          <w:spacing w:val="-3"/>
          <w:lang w:val="es-AR"/>
        </w:rPr>
      </w:pPr>
      <w:r w:rsidRPr="00485C1E">
        <w:rPr>
          <w:rFonts w:ascii="Arial" w:hAnsi="Arial" w:cs="Arial"/>
          <w:spacing w:val="-3"/>
          <w:lang w:val="es-AR"/>
        </w:rPr>
        <w:t>La producción total de hidrocarburos del</w:t>
      </w:r>
      <w:r w:rsidR="00FF137D">
        <w:rPr>
          <w:rFonts w:ascii="Arial" w:hAnsi="Arial" w:cs="Arial"/>
          <w:spacing w:val="-3"/>
          <w:lang w:val="es-AR"/>
        </w:rPr>
        <w:t xml:space="preserve"> segundo </w:t>
      </w:r>
      <w:r w:rsidR="00241A3E">
        <w:rPr>
          <w:rFonts w:ascii="Arial" w:hAnsi="Arial" w:cs="Arial"/>
          <w:spacing w:val="-3"/>
          <w:lang w:val="es-AR"/>
        </w:rPr>
        <w:t xml:space="preserve">trimestre de </w:t>
      </w:r>
      <w:r w:rsidRPr="00485C1E">
        <w:rPr>
          <w:rFonts w:ascii="Arial" w:hAnsi="Arial" w:cs="Arial"/>
          <w:spacing w:val="-3"/>
          <w:lang w:val="es-AR"/>
        </w:rPr>
        <w:t>201</w:t>
      </w:r>
      <w:r w:rsidR="00241A3E">
        <w:rPr>
          <w:rFonts w:ascii="Arial" w:hAnsi="Arial" w:cs="Arial"/>
          <w:spacing w:val="-3"/>
          <w:lang w:val="es-AR"/>
        </w:rPr>
        <w:t>9</w:t>
      </w:r>
      <w:r w:rsidRPr="00485C1E">
        <w:rPr>
          <w:rFonts w:ascii="Arial" w:hAnsi="Arial" w:cs="Arial"/>
          <w:spacing w:val="-3"/>
          <w:lang w:val="es-AR"/>
        </w:rPr>
        <w:t xml:space="preserve"> </w:t>
      </w:r>
      <w:r w:rsidR="00E112B5" w:rsidRPr="00485C1E">
        <w:rPr>
          <w:rFonts w:ascii="Arial" w:hAnsi="Arial" w:cs="Arial"/>
          <w:spacing w:val="-3"/>
          <w:lang w:val="es-AR"/>
        </w:rPr>
        <w:t xml:space="preserve">disminuyó un </w:t>
      </w:r>
      <w:r w:rsidR="009250D2">
        <w:rPr>
          <w:rFonts w:ascii="Arial" w:hAnsi="Arial" w:cs="Arial"/>
          <w:spacing w:val="-3"/>
          <w:lang w:val="es-AR"/>
        </w:rPr>
        <w:t>5,3</w:t>
      </w:r>
      <w:r w:rsidR="00E112B5" w:rsidRPr="00485C1E">
        <w:rPr>
          <w:rFonts w:ascii="Arial" w:hAnsi="Arial" w:cs="Arial"/>
          <w:spacing w:val="-3"/>
          <w:lang w:val="es-AR"/>
        </w:rPr>
        <w:t xml:space="preserve">%, alcanzando </w:t>
      </w:r>
      <w:r w:rsidRPr="00485C1E">
        <w:rPr>
          <w:rFonts w:ascii="Arial" w:hAnsi="Arial" w:cs="Arial"/>
          <w:spacing w:val="-3"/>
          <w:lang w:val="es-AR"/>
        </w:rPr>
        <w:t xml:space="preserve">los </w:t>
      </w:r>
      <w:r w:rsidR="009250D2">
        <w:rPr>
          <w:rFonts w:ascii="Arial" w:hAnsi="Arial" w:cs="Arial"/>
          <w:spacing w:val="-3"/>
          <w:lang w:val="es-AR"/>
        </w:rPr>
        <w:t>515,7</w:t>
      </w:r>
      <w:r w:rsidR="00773B42" w:rsidRPr="00485C1E">
        <w:rPr>
          <w:rFonts w:ascii="Arial" w:hAnsi="Arial" w:cs="Arial"/>
          <w:spacing w:val="-3"/>
          <w:lang w:val="es-AR"/>
        </w:rPr>
        <w:t xml:space="preserve"> </w:t>
      </w:r>
      <w:proofErr w:type="spellStart"/>
      <w:r w:rsidRPr="00485C1E">
        <w:rPr>
          <w:rFonts w:ascii="Arial" w:hAnsi="Arial" w:cs="Arial"/>
          <w:spacing w:val="-3"/>
          <w:lang w:val="es-AR"/>
        </w:rPr>
        <w:t>Kbped</w:t>
      </w:r>
      <w:proofErr w:type="spellEnd"/>
      <w:r w:rsidR="00241A3E">
        <w:rPr>
          <w:rFonts w:ascii="Arial" w:hAnsi="Arial" w:cs="Arial"/>
          <w:spacing w:val="-3"/>
          <w:lang w:val="es-AR"/>
        </w:rPr>
        <w:t xml:space="preserve">, en comparación al </w:t>
      </w:r>
      <w:r w:rsidR="00FF137D">
        <w:rPr>
          <w:rFonts w:ascii="Arial" w:hAnsi="Arial" w:cs="Arial"/>
          <w:spacing w:val="-3"/>
          <w:lang w:val="es-AR"/>
        </w:rPr>
        <w:t xml:space="preserve">segundo </w:t>
      </w:r>
      <w:r w:rsidR="00241A3E">
        <w:rPr>
          <w:rFonts w:ascii="Arial" w:hAnsi="Arial" w:cs="Arial"/>
          <w:spacing w:val="-3"/>
          <w:lang w:val="es-AR"/>
        </w:rPr>
        <w:t>trimestre de 2018.</w:t>
      </w:r>
    </w:p>
    <w:p w14:paraId="15294CA1" w14:textId="12A7AE5D" w:rsidR="00E35A95" w:rsidRPr="00864A13" w:rsidRDefault="00316196" w:rsidP="00FE655E">
      <w:pPr>
        <w:pStyle w:val="BodyText"/>
        <w:numPr>
          <w:ilvl w:val="0"/>
          <w:numId w:val="5"/>
        </w:numPr>
        <w:spacing w:after="240" w:line="288" w:lineRule="auto"/>
        <w:ind w:left="284" w:hanging="284"/>
        <w:jc w:val="both"/>
        <w:rPr>
          <w:rFonts w:ascii="Arial" w:hAnsi="Arial" w:cs="Arial"/>
          <w:spacing w:val="-3"/>
          <w:lang w:val="es-AR"/>
        </w:rPr>
      </w:pPr>
      <w:r w:rsidRPr="00864A13">
        <w:rPr>
          <w:rFonts w:ascii="Arial" w:hAnsi="Arial" w:cs="Arial"/>
          <w:spacing w:val="-3"/>
          <w:lang w:val="es-AR"/>
        </w:rPr>
        <w:lastRenderedPageBreak/>
        <w:t xml:space="preserve">El promedio de crudo procesado del </w:t>
      </w:r>
      <w:r w:rsidR="00FF137D" w:rsidRPr="00864A13">
        <w:rPr>
          <w:rFonts w:ascii="Arial" w:hAnsi="Arial" w:cs="Arial"/>
          <w:spacing w:val="-3"/>
          <w:lang w:val="es-AR"/>
        </w:rPr>
        <w:t xml:space="preserve">segundo </w:t>
      </w:r>
      <w:r w:rsidR="00241A3E" w:rsidRPr="00864A13">
        <w:rPr>
          <w:rFonts w:ascii="Arial" w:hAnsi="Arial" w:cs="Arial"/>
          <w:spacing w:val="-3"/>
          <w:lang w:val="es-AR"/>
        </w:rPr>
        <w:t xml:space="preserve">trimestre de </w:t>
      </w:r>
      <w:r w:rsidRPr="00864A13">
        <w:rPr>
          <w:rFonts w:ascii="Arial" w:hAnsi="Arial" w:cs="Arial"/>
          <w:spacing w:val="-3"/>
          <w:lang w:val="es-AR"/>
        </w:rPr>
        <w:t>201</w:t>
      </w:r>
      <w:r w:rsidR="00241A3E" w:rsidRPr="00864A13">
        <w:rPr>
          <w:rFonts w:ascii="Arial" w:hAnsi="Arial" w:cs="Arial"/>
          <w:spacing w:val="-3"/>
          <w:lang w:val="es-AR"/>
        </w:rPr>
        <w:t>9</w:t>
      </w:r>
      <w:r w:rsidRPr="00864A13">
        <w:rPr>
          <w:rFonts w:ascii="Arial" w:hAnsi="Arial" w:cs="Arial"/>
          <w:spacing w:val="-3"/>
          <w:lang w:val="es-AR"/>
        </w:rPr>
        <w:t xml:space="preserve"> alcanzó los </w:t>
      </w:r>
      <w:r w:rsidR="00864A13">
        <w:rPr>
          <w:rFonts w:ascii="Arial" w:hAnsi="Arial" w:cs="Arial"/>
          <w:spacing w:val="-3"/>
          <w:lang w:val="es-AR"/>
        </w:rPr>
        <w:t>262,8</w:t>
      </w:r>
      <w:r w:rsidR="00A73FDE" w:rsidRPr="00864A13">
        <w:rPr>
          <w:rFonts w:ascii="Arial" w:hAnsi="Arial" w:cs="Arial"/>
          <w:spacing w:val="-3"/>
          <w:lang w:val="es-AR"/>
        </w:rPr>
        <w:t xml:space="preserve"> </w:t>
      </w:r>
      <w:proofErr w:type="spellStart"/>
      <w:r w:rsidRPr="00864A13">
        <w:rPr>
          <w:rFonts w:ascii="Arial" w:hAnsi="Arial" w:cs="Arial"/>
          <w:spacing w:val="-3"/>
          <w:lang w:val="es-AR"/>
        </w:rPr>
        <w:t>Kbbld</w:t>
      </w:r>
      <w:proofErr w:type="spellEnd"/>
      <w:r w:rsidRPr="00864A13">
        <w:rPr>
          <w:rFonts w:ascii="Arial" w:hAnsi="Arial" w:cs="Arial"/>
          <w:spacing w:val="-3"/>
          <w:lang w:val="es-AR"/>
        </w:rPr>
        <w:t xml:space="preserve">, </w:t>
      </w:r>
      <w:r w:rsidR="00864A13">
        <w:rPr>
          <w:rFonts w:ascii="Arial" w:hAnsi="Arial" w:cs="Arial"/>
          <w:spacing w:val="-3"/>
          <w:lang w:val="es-AR"/>
        </w:rPr>
        <w:t>un 4,4</w:t>
      </w:r>
      <w:r w:rsidR="00E50D62" w:rsidRPr="00864A13">
        <w:rPr>
          <w:rFonts w:ascii="Arial" w:hAnsi="Arial" w:cs="Arial"/>
          <w:spacing w:val="-3"/>
          <w:lang w:val="es-AR"/>
        </w:rPr>
        <w:t>% inferior</w:t>
      </w:r>
      <w:r w:rsidR="00241A3E" w:rsidRPr="00864A13">
        <w:rPr>
          <w:rFonts w:ascii="Arial" w:hAnsi="Arial" w:cs="Arial"/>
          <w:spacing w:val="-3"/>
          <w:lang w:val="es-AR"/>
        </w:rPr>
        <w:t xml:space="preserve"> al </w:t>
      </w:r>
      <w:r w:rsidR="00FF137D" w:rsidRPr="00864A13">
        <w:rPr>
          <w:rFonts w:ascii="Arial" w:hAnsi="Arial" w:cs="Arial"/>
          <w:spacing w:val="-3"/>
          <w:lang w:val="es-AR"/>
        </w:rPr>
        <w:t xml:space="preserve">segundo </w:t>
      </w:r>
      <w:r w:rsidR="00241A3E" w:rsidRPr="00864A13">
        <w:rPr>
          <w:rFonts w:ascii="Arial" w:hAnsi="Arial" w:cs="Arial"/>
          <w:spacing w:val="-3"/>
          <w:lang w:val="es-AR"/>
        </w:rPr>
        <w:t>trimestre de</w:t>
      </w:r>
      <w:r w:rsidRPr="00864A13">
        <w:rPr>
          <w:rFonts w:ascii="Arial" w:hAnsi="Arial" w:cs="Arial"/>
          <w:spacing w:val="-3"/>
          <w:lang w:val="es-AR"/>
        </w:rPr>
        <w:t xml:space="preserve"> 201</w:t>
      </w:r>
      <w:r w:rsidR="00241A3E" w:rsidRPr="00864A13">
        <w:rPr>
          <w:rFonts w:ascii="Arial" w:hAnsi="Arial" w:cs="Arial"/>
          <w:spacing w:val="-3"/>
          <w:lang w:val="es-AR"/>
        </w:rPr>
        <w:t>8</w:t>
      </w:r>
      <w:r w:rsidRPr="00864A13">
        <w:rPr>
          <w:rFonts w:ascii="Arial" w:hAnsi="Arial" w:cs="Arial"/>
          <w:spacing w:val="-3"/>
          <w:lang w:val="es-AR"/>
        </w:rPr>
        <w:t>, siendo el promedio de utiliza</w:t>
      </w:r>
      <w:r w:rsidR="00FF137D" w:rsidRPr="00864A13">
        <w:rPr>
          <w:rFonts w:ascii="Arial" w:hAnsi="Arial" w:cs="Arial"/>
          <w:spacing w:val="-3"/>
          <w:lang w:val="es-AR"/>
        </w:rPr>
        <w:t>ción de las refinerías para el segundo</w:t>
      </w:r>
      <w:r w:rsidR="00241A3E" w:rsidRPr="00864A13">
        <w:rPr>
          <w:rFonts w:ascii="Arial" w:hAnsi="Arial" w:cs="Arial"/>
          <w:spacing w:val="-3"/>
          <w:lang w:val="es-AR"/>
        </w:rPr>
        <w:t xml:space="preserve"> trimestre del </w:t>
      </w:r>
      <w:r w:rsidRPr="00864A13">
        <w:rPr>
          <w:rFonts w:ascii="Arial" w:hAnsi="Arial" w:cs="Arial"/>
          <w:spacing w:val="-3"/>
          <w:lang w:val="es-AR"/>
        </w:rPr>
        <w:t>201</w:t>
      </w:r>
      <w:r w:rsidR="00241A3E" w:rsidRPr="00864A13">
        <w:rPr>
          <w:rFonts w:ascii="Arial" w:hAnsi="Arial" w:cs="Arial"/>
          <w:spacing w:val="-3"/>
          <w:lang w:val="es-AR"/>
        </w:rPr>
        <w:t>9</w:t>
      </w:r>
      <w:r w:rsidRPr="00864A13">
        <w:rPr>
          <w:rFonts w:ascii="Arial" w:hAnsi="Arial" w:cs="Arial"/>
          <w:spacing w:val="-3"/>
          <w:lang w:val="es-AR"/>
        </w:rPr>
        <w:t xml:space="preserve"> del </w:t>
      </w:r>
      <w:r w:rsidR="00864A13">
        <w:rPr>
          <w:rFonts w:ascii="Arial" w:hAnsi="Arial" w:cs="Arial"/>
          <w:spacing w:val="-3"/>
          <w:lang w:val="es-AR"/>
        </w:rPr>
        <w:t>82</w:t>
      </w:r>
      <w:r w:rsidR="00067929" w:rsidRPr="00864A13">
        <w:rPr>
          <w:rFonts w:ascii="Arial" w:hAnsi="Arial" w:cs="Arial"/>
          <w:spacing w:val="-3"/>
          <w:lang w:val="es-AR"/>
        </w:rPr>
        <w:t>,2</w:t>
      </w:r>
      <w:r w:rsidRPr="00864A13">
        <w:rPr>
          <w:rFonts w:ascii="Arial" w:hAnsi="Arial" w:cs="Arial"/>
          <w:spacing w:val="-3"/>
          <w:lang w:val="es-AR"/>
        </w:rPr>
        <w:t>%.</w:t>
      </w:r>
      <w:r w:rsidRPr="00864A13" w:rsidDel="002F4AEE">
        <w:rPr>
          <w:rFonts w:ascii="Arial" w:hAnsi="Arial" w:cs="Arial"/>
          <w:spacing w:val="-3"/>
          <w:lang w:val="es-AR"/>
        </w:rPr>
        <w:t xml:space="preserve"> </w:t>
      </w:r>
    </w:p>
    <w:p w14:paraId="02578B31" w14:textId="77777777" w:rsidR="00FE655E" w:rsidRDefault="00FE655E" w:rsidP="000B0013">
      <w:pPr>
        <w:pStyle w:val="Heading1"/>
        <w:rPr>
          <w:rFonts w:cs="Arial"/>
          <w:color w:val="000000"/>
          <w:spacing w:val="-3"/>
          <w:sz w:val="24"/>
          <w:u w:val="single"/>
          <w:lang w:val="es-AR"/>
        </w:rPr>
      </w:pPr>
      <w:bookmarkStart w:id="63" w:name="_Toc331003945"/>
    </w:p>
    <w:p w14:paraId="6249F5A6" w14:textId="57FA67CA" w:rsidR="000B0013" w:rsidRPr="00DD3044" w:rsidRDefault="000B0013" w:rsidP="000B0013">
      <w:pPr>
        <w:pStyle w:val="Heading1"/>
        <w:rPr>
          <w:rFonts w:cs="Arial"/>
          <w:b w:val="0"/>
          <w:color w:val="000000"/>
          <w:spacing w:val="-3"/>
          <w:sz w:val="24"/>
          <w:u w:val="single"/>
          <w:lang w:val="es-AR"/>
        </w:rPr>
      </w:pPr>
      <w:r w:rsidRPr="00431458">
        <w:rPr>
          <w:rFonts w:cs="Arial"/>
          <w:color w:val="000000"/>
          <w:spacing w:val="-3"/>
          <w:sz w:val="24"/>
          <w:u w:val="single"/>
          <w:lang w:val="es-AR"/>
        </w:rPr>
        <w:t xml:space="preserve">2. ANÁLISIS DE RESULTADOS </w:t>
      </w:r>
      <w:r>
        <w:rPr>
          <w:rFonts w:cs="Arial"/>
          <w:color w:val="000000"/>
          <w:spacing w:val="-3"/>
          <w:sz w:val="24"/>
          <w:u w:val="single"/>
          <w:lang w:val="es-AR"/>
        </w:rPr>
        <w:t xml:space="preserve">DEL </w:t>
      </w:r>
      <w:r w:rsidR="00FF137D">
        <w:rPr>
          <w:rFonts w:cs="Arial"/>
          <w:color w:val="000000"/>
          <w:spacing w:val="-3"/>
          <w:sz w:val="24"/>
          <w:u w:val="single"/>
          <w:lang w:val="es-AR"/>
        </w:rPr>
        <w:t xml:space="preserve">SEGUNDO </w:t>
      </w:r>
      <w:r>
        <w:rPr>
          <w:rFonts w:cs="Arial"/>
          <w:color w:val="000000"/>
          <w:spacing w:val="-3"/>
          <w:sz w:val="24"/>
          <w:u w:val="single"/>
          <w:lang w:val="es-AR"/>
        </w:rPr>
        <w:t>TRIMESTRE 201</w:t>
      </w:r>
      <w:r w:rsidR="00CB43B2">
        <w:rPr>
          <w:rFonts w:cs="Arial"/>
          <w:color w:val="000000"/>
          <w:spacing w:val="-3"/>
          <w:sz w:val="24"/>
          <w:u w:val="single"/>
          <w:lang w:val="es-AR"/>
        </w:rPr>
        <w:t>9</w:t>
      </w:r>
    </w:p>
    <w:p w14:paraId="4A61D3DF" w14:textId="77777777" w:rsidR="00F75E9B" w:rsidRDefault="00F75E9B" w:rsidP="000B0013">
      <w:pPr>
        <w:pStyle w:val="Heading2"/>
        <w:rPr>
          <w:rFonts w:cs="Arial"/>
          <w:color w:val="000000"/>
          <w:spacing w:val="-3"/>
          <w:sz w:val="24"/>
          <w:lang w:val="es-AR"/>
        </w:rPr>
      </w:pPr>
    </w:p>
    <w:p w14:paraId="7C1F824F" w14:textId="52C0B263" w:rsidR="00237DE1" w:rsidRPr="006E0DD2" w:rsidRDefault="00237DE1" w:rsidP="00237DE1">
      <w:pPr>
        <w:spacing w:line="288" w:lineRule="auto"/>
        <w:jc w:val="both"/>
        <w:rPr>
          <w:rFonts w:ascii="Arial" w:hAnsi="Arial" w:cs="Arial"/>
          <w:w w:val="0"/>
          <w:lang w:val="es-AR"/>
        </w:rPr>
      </w:pPr>
      <w:r w:rsidRPr="006E0DD2">
        <w:rPr>
          <w:rFonts w:ascii="Arial" w:hAnsi="Arial" w:cs="Arial"/>
          <w:w w:val="0"/>
          <w:lang w:val="es-AR"/>
        </w:rPr>
        <w:t xml:space="preserve">Los ingresos correspondientes al </w:t>
      </w:r>
      <w:r w:rsidR="00FF137D">
        <w:rPr>
          <w:rFonts w:ascii="Arial" w:hAnsi="Arial" w:cs="Arial"/>
          <w:w w:val="0"/>
          <w:lang w:val="es-AR"/>
        </w:rPr>
        <w:t>segundo</w:t>
      </w:r>
      <w:r w:rsidR="00241A3E">
        <w:rPr>
          <w:rFonts w:ascii="Arial" w:hAnsi="Arial" w:cs="Arial"/>
          <w:w w:val="0"/>
          <w:lang w:val="es-AR"/>
        </w:rPr>
        <w:t xml:space="preserve"> </w:t>
      </w:r>
      <w:r>
        <w:rPr>
          <w:rFonts w:ascii="Arial" w:hAnsi="Arial" w:cs="Arial"/>
          <w:w w:val="0"/>
          <w:lang w:val="es-AR"/>
        </w:rPr>
        <w:t>trimestre de</w:t>
      </w:r>
      <w:r w:rsidRPr="006E0DD2">
        <w:rPr>
          <w:rFonts w:ascii="Arial" w:hAnsi="Arial" w:cs="Arial"/>
          <w:w w:val="0"/>
          <w:lang w:val="es-AR"/>
        </w:rPr>
        <w:t xml:space="preserve"> </w:t>
      </w:r>
      <w:r w:rsidRPr="006E0DD2">
        <w:rPr>
          <w:rFonts w:ascii="Arial" w:hAnsi="Arial" w:cs="Arial"/>
          <w:lang w:val="es-AR"/>
        </w:rPr>
        <w:t>201</w:t>
      </w:r>
      <w:r w:rsidR="00241A3E">
        <w:rPr>
          <w:rFonts w:ascii="Arial" w:hAnsi="Arial" w:cs="Arial"/>
          <w:lang w:val="es-AR"/>
        </w:rPr>
        <w:t>9</w:t>
      </w:r>
      <w:r w:rsidRPr="006E0DD2">
        <w:rPr>
          <w:rFonts w:ascii="Arial" w:hAnsi="Arial" w:cs="Arial"/>
          <w:lang w:val="es-AR"/>
        </w:rPr>
        <w:t xml:space="preserve"> </w:t>
      </w:r>
      <w:r w:rsidRPr="006E0DD2">
        <w:rPr>
          <w:rFonts w:ascii="Arial" w:hAnsi="Arial" w:cs="Arial"/>
          <w:w w:val="0"/>
          <w:lang w:val="es-AR"/>
        </w:rPr>
        <w:t xml:space="preserve">fueron de </w:t>
      </w:r>
      <w:proofErr w:type="spellStart"/>
      <w:r w:rsidRPr="006E0DD2">
        <w:rPr>
          <w:rFonts w:ascii="Arial" w:hAnsi="Arial" w:cs="Arial"/>
          <w:w w:val="0"/>
          <w:lang w:val="es-AR"/>
        </w:rPr>
        <w:t>Ps</w:t>
      </w:r>
      <w:proofErr w:type="spellEnd"/>
      <w:r w:rsidRPr="006E0DD2">
        <w:rPr>
          <w:rFonts w:ascii="Arial" w:hAnsi="Arial" w:cs="Arial"/>
          <w:w w:val="0"/>
          <w:lang w:val="es-AR"/>
        </w:rPr>
        <w:t xml:space="preserve"> </w:t>
      </w:r>
      <w:r w:rsidR="009250D2">
        <w:rPr>
          <w:rFonts w:ascii="Arial" w:hAnsi="Arial" w:cs="Arial"/>
          <w:w w:val="0"/>
          <w:lang w:val="es-AR"/>
        </w:rPr>
        <w:t>160,3</w:t>
      </w:r>
      <w:r w:rsidRPr="006E0DD2">
        <w:rPr>
          <w:rFonts w:ascii="Arial" w:hAnsi="Arial" w:cs="Arial"/>
          <w:w w:val="0"/>
          <w:lang w:val="es-AR"/>
        </w:rPr>
        <w:t xml:space="preserve"> MM, lo que representa un aumento del </w:t>
      </w:r>
      <w:r w:rsidR="008F7BD1">
        <w:rPr>
          <w:rFonts w:ascii="Arial" w:hAnsi="Arial" w:cs="Arial"/>
          <w:w w:val="0"/>
          <w:lang w:val="es-AR"/>
        </w:rPr>
        <w:t>72,</w:t>
      </w:r>
      <w:r w:rsidR="009250D2">
        <w:rPr>
          <w:rFonts w:ascii="Arial" w:hAnsi="Arial" w:cs="Arial"/>
          <w:w w:val="0"/>
          <w:lang w:val="es-AR"/>
        </w:rPr>
        <w:t>3</w:t>
      </w:r>
      <w:r w:rsidRPr="006E0DD2">
        <w:rPr>
          <w:rFonts w:ascii="Arial" w:hAnsi="Arial" w:cs="Arial"/>
          <w:w w:val="0"/>
          <w:lang w:val="es-AR"/>
        </w:rPr>
        <w:t>% en comparación con</w:t>
      </w:r>
      <w:r w:rsidR="009250D2">
        <w:rPr>
          <w:rFonts w:ascii="Arial" w:hAnsi="Arial" w:cs="Arial"/>
          <w:w w:val="0"/>
          <w:lang w:val="es-AR"/>
        </w:rPr>
        <w:t xml:space="preserve"> los </w:t>
      </w:r>
      <w:proofErr w:type="spellStart"/>
      <w:r w:rsidR="009250D2">
        <w:rPr>
          <w:rFonts w:ascii="Arial" w:hAnsi="Arial" w:cs="Arial"/>
          <w:w w:val="0"/>
          <w:lang w:val="es-AR"/>
        </w:rPr>
        <w:t>Ps</w:t>
      </w:r>
      <w:proofErr w:type="spellEnd"/>
      <w:r w:rsidR="009250D2">
        <w:rPr>
          <w:rFonts w:ascii="Arial" w:hAnsi="Arial" w:cs="Arial"/>
          <w:w w:val="0"/>
          <w:lang w:val="es-AR"/>
        </w:rPr>
        <w:t xml:space="preserve"> 93,0</w:t>
      </w:r>
      <w:r>
        <w:rPr>
          <w:rFonts w:ascii="Arial" w:hAnsi="Arial" w:cs="Arial"/>
          <w:w w:val="0"/>
          <w:lang w:val="es-AR"/>
        </w:rPr>
        <w:t xml:space="preserve"> MM</w:t>
      </w:r>
      <w:r w:rsidRPr="006E0DD2">
        <w:rPr>
          <w:rFonts w:ascii="Arial" w:hAnsi="Arial" w:cs="Arial"/>
          <w:w w:val="0"/>
          <w:lang w:val="es-AR"/>
        </w:rPr>
        <w:t xml:space="preserve"> </w:t>
      </w:r>
      <w:r>
        <w:rPr>
          <w:rFonts w:ascii="Arial" w:hAnsi="Arial" w:cs="Arial"/>
          <w:w w:val="0"/>
          <w:lang w:val="es-AR"/>
        </w:rPr>
        <w:t>d</w:t>
      </w:r>
      <w:r w:rsidRPr="006E0DD2">
        <w:rPr>
          <w:rFonts w:ascii="Arial" w:hAnsi="Arial" w:cs="Arial"/>
          <w:w w:val="0"/>
          <w:lang w:val="es-AR"/>
        </w:rPr>
        <w:t xml:space="preserve">el </w:t>
      </w:r>
      <w:r w:rsidR="00FF137D">
        <w:rPr>
          <w:rFonts w:ascii="Arial" w:hAnsi="Arial" w:cs="Arial"/>
          <w:w w:val="0"/>
          <w:lang w:val="es-AR"/>
        </w:rPr>
        <w:t>segundo</w:t>
      </w:r>
      <w:r>
        <w:rPr>
          <w:rFonts w:ascii="Arial" w:hAnsi="Arial" w:cs="Arial"/>
          <w:w w:val="0"/>
          <w:lang w:val="es-AR"/>
        </w:rPr>
        <w:t xml:space="preserve"> trimestre </w:t>
      </w:r>
      <w:r w:rsidRPr="006E0DD2">
        <w:rPr>
          <w:rFonts w:ascii="Arial" w:hAnsi="Arial" w:cs="Arial"/>
          <w:w w:val="0"/>
          <w:lang w:val="es-AR"/>
        </w:rPr>
        <w:t>201</w:t>
      </w:r>
      <w:r w:rsidR="00241A3E">
        <w:rPr>
          <w:rFonts w:ascii="Arial" w:hAnsi="Arial" w:cs="Arial"/>
          <w:w w:val="0"/>
          <w:lang w:val="es-AR"/>
        </w:rPr>
        <w:t>8</w:t>
      </w:r>
      <w:r w:rsidRPr="006E0DD2">
        <w:rPr>
          <w:rFonts w:ascii="Arial" w:hAnsi="Arial" w:cs="Arial"/>
          <w:w w:val="0"/>
          <w:lang w:val="es-AR"/>
        </w:rPr>
        <w:t xml:space="preserve">. Dentro de las principales causas que determinaron la variación en los ingresos antes mencionados, se destacan: </w:t>
      </w:r>
    </w:p>
    <w:p w14:paraId="1B329FFF" w14:textId="1A663209" w:rsidR="00BE46C2" w:rsidRDefault="00BE46C2" w:rsidP="00485C1E">
      <w:pPr>
        <w:pStyle w:val="BodyText"/>
        <w:numPr>
          <w:ilvl w:val="0"/>
          <w:numId w:val="5"/>
        </w:numPr>
        <w:spacing w:before="120" w:line="288" w:lineRule="auto"/>
        <w:ind w:left="987" w:hanging="284"/>
        <w:jc w:val="both"/>
        <w:rPr>
          <w:rFonts w:ascii="Arial" w:hAnsi="Arial" w:cs="Arial"/>
          <w:w w:val="0"/>
          <w:lang w:val="es-AR"/>
        </w:rPr>
      </w:pPr>
      <w:bookmarkStart w:id="64" w:name="_Hlk2159192"/>
      <w:r w:rsidRPr="00DB5A51">
        <w:rPr>
          <w:rFonts w:ascii="Arial" w:hAnsi="Arial" w:cs="Arial"/>
          <w:w w:val="0"/>
          <w:lang w:val="es-AR"/>
        </w:rPr>
        <w:t xml:space="preserve">Las ventas de gas </w:t>
      </w:r>
      <w:proofErr w:type="spellStart"/>
      <w:r w:rsidRPr="00DB5A51">
        <w:rPr>
          <w:rFonts w:ascii="Arial" w:hAnsi="Arial" w:cs="Arial"/>
          <w:w w:val="0"/>
          <w:lang w:val="es-AR"/>
        </w:rPr>
        <w:t>oil</w:t>
      </w:r>
      <w:proofErr w:type="spellEnd"/>
      <w:r w:rsidRPr="00DB5A51">
        <w:rPr>
          <w:rFonts w:ascii="Arial" w:hAnsi="Arial" w:cs="Arial"/>
          <w:w w:val="0"/>
          <w:lang w:val="es-AR"/>
        </w:rPr>
        <w:t xml:space="preserve"> </w:t>
      </w:r>
      <w:r>
        <w:rPr>
          <w:rFonts w:ascii="Arial" w:hAnsi="Arial" w:cs="Arial"/>
          <w:w w:val="0"/>
          <w:lang w:val="es-AR"/>
        </w:rPr>
        <w:t xml:space="preserve">del </w:t>
      </w:r>
      <w:r w:rsidR="00FF137D">
        <w:rPr>
          <w:rFonts w:ascii="Arial" w:hAnsi="Arial" w:cs="Arial"/>
          <w:w w:val="0"/>
          <w:lang w:val="es-AR"/>
        </w:rPr>
        <w:t xml:space="preserve">segundo </w:t>
      </w:r>
      <w:r>
        <w:rPr>
          <w:rFonts w:ascii="Arial" w:hAnsi="Arial" w:cs="Arial"/>
          <w:w w:val="0"/>
          <w:lang w:val="es-AR"/>
        </w:rPr>
        <w:t>trim</w:t>
      </w:r>
      <w:r w:rsidR="00241A3E">
        <w:rPr>
          <w:rFonts w:ascii="Arial" w:hAnsi="Arial" w:cs="Arial"/>
          <w:w w:val="0"/>
          <w:lang w:val="es-AR"/>
        </w:rPr>
        <w:t>estre 2019</w:t>
      </w:r>
      <w:r w:rsidR="00F979C8">
        <w:rPr>
          <w:rFonts w:ascii="Arial" w:hAnsi="Arial" w:cs="Arial"/>
          <w:w w:val="0"/>
          <w:lang w:val="es-AR"/>
        </w:rPr>
        <w:t xml:space="preserve"> ascendieron a </w:t>
      </w:r>
      <w:proofErr w:type="spellStart"/>
      <w:r w:rsidR="00F979C8">
        <w:rPr>
          <w:rFonts w:ascii="Arial" w:hAnsi="Arial" w:cs="Arial"/>
          <w:w w:val="0"/>
          <w:lang w:val="es-AR"/>
        </w:rPr>
        <w:t>Ps</w:t>
      </w:r>
      <w:proofErr w:type="spellEnd"/>
      <w:r w:rsidR="00F979C8">
        <w:rPr>
          <w:rFonts w:ascii="Arial" w:hAnsi="Arial" w:cs="Arial"/>
          <w:w w:val="0"/>
          <w:lang w:val="es-AR"/>
        </w:rPr>
        <w:t xml:space="preserve"> 53</w:t>
      </w:r>
      <w:r w:rsidR="00B50ABC">
        <w:rPr>
          <w:rFonts w:ascii="Arial" w:hAnsi="Arial" w:cs="Arial"/>
          <w:w w:val="0"/>
          <w:lang w:val="es-AR"/>
        </w:rPr>
        <w:t xml:space="preserve">,6 </w:t>
      </w:r>
      <w:r>
        <w:rPr>
          <w:rFonts w:ascii="Arial" w:hAnsi="Arial" w:cs="Arial"/>
          <w:w w:val="0"/>
          <w:lang w:val="es-AR"/>
        </w:rPr>
        <w:t xml:space="preserve">MM, siendo superiores a las del </w:t>
      </w:r>
      <w:r w:rsidR="00FF137D">
        <w:rPr>
          <w:rFonts w:ascii="Arial" w:hAnsi="Arial" w:cs="Arial"/>
          <w:w w:val="0"/>
          <w:lang w:val="es-AR"/>
        </w:rPr>
        <w:t xml:space="preserve">segundo </w:t>
      </w:r>
      <w:r w:rsidR="00241A3E">
        <w:rPr>
          <w:rFonts w:ascii="Arial" w:hAnsi="Arial" w:cs="Arial"/>
          <w:w w:val="0"/>
          <w:lang w:val="es-AR"/>
        </w:rPr>
        <w:t>trimestre del año 2018</w:t>
      </w:r>
      <w:r>
        <w:rPr>
          <w:rFonts w:ascii="Arial" w:hAnsi="Arial" w:cs="Arial"/>
          <w:w w:val="0"/>
          <w:lang w:val="es-AR"/>
        </w:rPr>
        <w:t xml:space="preserve"> en </w:t>
      </w:r>
      <w:proofErr w:type="spellStart"/>
      <w:r w:rsidR="00290925">
        <w:rPr>
          <w:rFonts w:ascii="Arial" w:hAnsi="Arial" w:cs="Arial"/>
          <w:w w:val="0"/>
          <w:lang w:val="es-AR"/>
        </w:rPr>
        <w:t>Ps</w:t>
      </w:r>
      <w:proofErr w:type="spellEnd"/>
      <w:r w:rsidR="00290925">
        <w:rPr>
          <w:rFonts w:ascii="Arial" w:hAnsi="Arial" w:cs="Arial"/>
          <w:w w:val="0"/>
          <w:lang w:val="es-AR"/>
        </w:rPr>
        <w:t xml:space="preserve"> </w:t>
      </w:r>
      <w:r w:rsidR="00B50ABC">
        <w:rPr>
          <w:rFonts w:ascii="Arial" w:hAnsi="Arial" w:cs="Arial"/>
          <w:w w:val="0"/>
          <w:lang w:val="es-AR"/>
        </w:rPr>
        <w:t>2</w:t>
      </w:r>
      <w:r w:rsidR="00F979C8">
        <w:rPr>
          <w:rFonts w:ascii="Arial" w:hAnsi="Arial" w:cs="Arial"/>
          <w:w w:val="0"/>
          <w:lang w:val="es-AR"/>
        </w:rPr>
        <w:t>5,1</w:t>
      </w:r>
      <w:r w:rsidR="00BB29EF" w:rsidRPr="00EE7B63">
        <w:rPr>
          <w:rFonts w:ascii="Arial" w:hAnsi="Arial" w:cs="Arial"/>
          <w:w w:val="0"/>
          <w:lang w:val="es-AR"/>
        </w:rPr>
        <w:t xml:space="preserve"> </w:t>
      </w:r>
      <w:r w:rsidRPr="00EE7B63">
        <w:rPr>
          <w:rFonts w:ascii="Arial" w:hAnsi="Arial" w:cs="Arial"/>
          <w:w w:val="0"/>
          <w:lang w:val="es-AR"/>
        </w:rPr>
        <w:t xml:space="preserve">MM, o </w:t>
      </w:r>
      <w:r w:rsidR="00F979C8">
        <w:rPr>
          <w:rFonts w:ascii="Arial" w:hAnsi="Arial" w:cs="Arial"/>
          <w:w w:val="0"/>
          <w:lang w:val="es-AR"/>
        </w:rPr>
        <w:t>87,7</w:t>
      </w:r>
      <w:r w:rsidRPr="00004085">
        <w:rPr>
          <w:rFonts w:ascii="Arial" w:hAnsi="Arial" w:cs="Arial"/>
          <w:w w:val="0"/>
          <w:lang w:val="es-AR"/>
        </w:rPr>
        <w:t>%</w:t>
      </w:r>
      <w:r w:rsidR="00290925">
        <w:rPr>
          <w:rFonts w:ascii="Arial" w:hAnsi="Arial" w:cs="Arial"/>
          <w:w w:val="0"/>
          <w:lang w:val="es-AR"/>
        </w:rPr>
        <w:t>;</w:t>
      </w:r>
    </w:p>
    <w:p w14:paraId="0030BA3B" w14:textId="47F0E79E" w:rsidR="00BE46C2" w:rsidRDefault="00BE46C2" w:rsidP="00485C1E">
      <w:pPr>
        <w:pStyle w:val="BodyText"/>
        <w:numPr>
          <w:ilvl w:val="0"/>
          <w:numId w:val="5"/>
        </w:numPr>
        <w:spacing w:before="120" w:line="288" w:lineRule="auto"/>
        <w:ind w:left="987" w:hanging="284"/>
        <w:jc w:val="both"/>
        <w:rPr>
          <w:rFonts w:ascii="Arial" w:hAnsi="Arial" w:cs="Arial"/>
          <w:w w:val="0"/>
          <w:lang w:val="es-AR"/>
        </w:rPr>
      </w:pPr>
      <w:bookmarkStart w:id="65" w:name="_Hlk2159281"/>
      <w:bookmarkEnd w:id="64"/>
      <w:r w:rsidRPr="00353F83">
        <w:rPr>
          <w:rFonts w:ascii="Arial" w:hAnsi="Arial" w:cs="Arial"/>
          <w:w w:val="0"/>
          <w:lang w:val="es-AR"/>
        </w:rPr>
        <w:t xml:space="preserve">Las ventas de naftas </w:t>
      </w:r>
      <w:r>
        <w:rPr>
          <w:rFonts w:ascii="Arial" w:hAnsi="Arial" w:cs="Arial"/>
          <w:w w:val="0"/>
          <w:lang w:val="es-AR"/>
        </w:rPr>
        <w:t xml:space="preserve">del </w:t>
      </w:r>
      <w:r w:rsidR="00FF137D">
        <w:rPr>
          <w:rFonts w:ascii="Arial" w:hAnsi="Arial" w:cs="Arial"/>
          <w:w w:val="0"/>
          <w:lang w:val="es-AR"/>
        </w:rPr>
        <w:t>segundo</w:t>
      </w:r>
      <w:r>
        <w:rPr>
          <w:rFonts w:ascii="Arial" w:hAnsi="Arial" w:cs="Arial"/>
          <w:w w:val="0"/>
          <w:lang w:val="es-AR"/>
        </w:rPr>
        <w:t xml:space="preserve"> trimest</w:t>
      </w:r>
      <w:r w:rsidR="00241A3E">
        <w:rPr>
          <w:rFonts w:ascii="Arial" w:hAnsi="Arial" w:cs="Arial"/>
          <w:w w:val="0"/>
          <w:lang w:val="es-AR"/>
        </w:rPr>
        <w:t>re 2019</w:t>
      </w:r>
      <w:r w:rsidR="00F979C8">
        <w:rPr>
          <w:rFonts w:ascii="Arial" w:hAnsi="Arial" w:cs="Arial"/>
          <w:w w:val="0"/>
          <w:lang w:val="es-AR"/>
        </w:rPr>
        <w:t xml:space="preserve"> ascendieron los </w:t>
      </w:r>
      <w:proofErr w:type="spellStart"/>
      <w:r w:rsidR="00F979C8">
        <w:rPr>
          <w:rFonts w:ascii="Arial" w:hAnsi="Arial" w:cs="Arial"/>
          <w:w w:val="0"/>
          <w:lang w:val="es-AR"/>
        </w:rPr>
        <w:t>Ps</w:t>
      </w:r>
      <w:proofErr w:type="spellEnd"/>
      <w:r w:rsidR="00F979C8">
        <w:rPr>
          <w:rFonts w:ascii="Arial" w:hAnsi="Arial" w:cs="Arial"/>
          <w:w w:val="0"/>
          <w:lang w:val="es-AR"/>
        </w:rPr>
        <w:t xml:space="preserve"> 32,4</w:t>
      </w:r>
      <w:r w:rsidR="00290925">
        <w:rPr>
          <w:rFonts w:ascii="Arial" w:hAnsi="Arial" w:cs="Arial"/>
          <w:w w:val="0"/>
          <w:lang w:val="es-AR"/>
        </w:rPr>
        <w:t xml:space="preserve"> </w:t>
      </w:r>
      <w:r>
        <w:rPr>
          <w:rFonts w:ascii="Arial" w:hAnsi="Arial" w:cs="Arial"/>
          <w:w w:val="0"/>
          <w:lang w:val="es-AR"/>
        </w:rPr>
        <w:t>M</w:t>
      </w:r>
      <w:r w:rsidR="00241A3E">
        <w:rPr>
          <w:rFonts w:ascii="Arial" w:hAnsi="Arial" w:cs="Arial"/>
          <w:w w:val="0"/>
          <w:lang w:val="es-AR"/>
        </w:rPr>
        <w:t xml:space="preserve">M, siendo superiores a las del </w:t>
      </w:r>
      <w:r w:rsidR="00FF137D">
        <w:rPr>
          <w:rFonts w:ascii="Arial" w:hAnsi="Arial" w:cs="Arial"/>
          <w:w w:val="0"/>
          <w:lang w:val="es-AR"/>
        </w:rPr>
        <w:t xml:space="preserve">segundo </w:t>
      </w:r>
      <w:r w:rsidR="00241A3E">
        <w:rPr>
          <w:rFonts w:ascii="Arial" w:hAnsi="Arial" w:cs="Arial"/>
          <w:w w:val="0"/>
          <w:lang w:val="es-AR"/>
        </w:rPr>
        <w:t>trimestre 2018</w:t>
      </w:r>
      <w:r>
        <w:rPr>
          <w:rFonts w:ascii="Arial" w:hAnsi="Arial" w:cs="Arial"/>
          <w:w w:val="0"/>
          <w:lang w:val="es-AR"/>
        </w:rPr>
        <w:t xml:space="preserve"> en</w:t>
      </w:r>
      <w:r w:rsidRPr="00353F83">
        <w:rPr>
          <w:rFonts w:ascii="Arial" w:hAnsi="Arial" w:cs="Arial"/>
          <w:w w:val="0"/>
          <w:lang w:val="es-AR"/>
        </w:rPr>
        <w:t xml:space="preserve"> </w:t>
      </w:r>
      <w:proofErr w:type="spellStart"/>
      <w:r w:rsidRPr="00353F83">
        <w:rPr>
          <w:rFonts w:ascii="Arial" w:hAnsi="Arial" w:cs="Arial"/>
          <w:w w:val="0"/>
          <w:lang w:val="es-AR"/>
        </w:rPr>
        <w:t>Ps</w:t>
      </w:r>
      <w:proofErr w:type="spellEnd"/>
      <w:r w:rsidRPr="00353F83">
        <w:rPr>
          <w:rFonts w:ascii="Arial" w:hAnsi="Arial" w:cs="Arial"/>
          <w:w w:val="0"/>
          <w:lang w:val="es-AR"/>
        </w:rPr>
        <w:t xml:space="preserve"> </w:t>
      </w:r>
      <w:r w:rsidR="00F979C8">
        <w:rPr>
          <w:rFonts w:ascii="Arial" w:hAnsi="Arial" w:cs="Arial"/>
          <w:w w:val="0"/>
          <w:lang w:val="es-AR"/>
        </w:rPr>
        <w:t>12,8</w:t>
      </w:r>
      <w:r w:rsidRPr="00353F83">
        <w:rPr>
          <w:rFonts w:ascii="Arial" w:hAnsi="Arial" w:cs="Arial"/>
          <w:w w:val="0"/>
          <w:lang w:val="es-AR"/>
        </w:rPr>
        <w:t xml:space="preserve"> MM, o </w:t>
      </w:r>
      <w:r w:rsidR="00F979C8">
        <w:rPr>
          <w:rFonts w:ascii="Arial" w:hAnsi="Arial" w:cs="Arial"/>
          <w:w w:val="0"/>
          <w:lang w:val="es-AR"/>
        </w:rPr>
        <w:t>65,0</w:t>
      </w:r>
      <w:r w:rsidRPr="00353F83">
        <w:rPr>
          <w:rFonts w:ascii="Arial" w:hAnsi="Arial" w:cs="Arial"/>
          <w:w w:val="0"/>
          <w:lang w:val="es-AR"/>
        </w:rPr>
        <w:t>%</w:t>
      </w:r>
      <w:r w:rsidR="00290925">
        <w:rPr>
          <w:rFonts w:ascii="Arial" w:hAnsi="Arial" w:cs="Arial"/>
          <w:w w:val="0"/>
          <w:lang w:val="es-AR"/>
        </w:rPr>
        <w:t>;</w:t>
      </w:r>
    </w:p>
    <w:p w14:paraId="59080BAC" w14:textId="0B520E80" w:rsidR="0024147F" w:rsidRPr="004917F3" w:rsidRDefault="0024147F" w:rsidP="004917F3">
      <w:pPr>
        <w:pStyle w:val="BodyText"/>
        <w:numPr>
          <w:ilvl w:val="0"/>
          <w:numId w:val="5"/>
        </w:numPr>
        <w:spacing w:before="120" w:line="288" w:lineRule="auto"/>
        <w:ind w:left="987" w:hanging="284"/>
        <w:jc w:val="both"/>
        <w:rPr>
          <w:rFonts w:ascii="Arial" w:hAnsi="Arial" w:cs="Arial"/>
          <w:w w:val="0"/>
          <w:lang w:val="es-AR"/>
        </w:rPr>
      </w:pPr>
      <w:r w:rsidRPr="0080161E">
        <w:rPr>
          <w:rFonts w:ascii="Arial" w:hAnsi="Arial" w:cs="Arial"/>
          <w:w w:val="0"/>
          <w:lang w:val="es-AR"/>
        </w:rPr>
        <w:t>Las ventas como productores de gas natural</w:t>
      </w:r>
      <w:r>
        <w:rPr>
          <w:rFonts w:ascii="Arial" w:hAnsi="Arial" w:cs="Arial"/>
          <w:w w:val="0"/>
          <w:lang w:val="es-AR"/>
        </w:rPr>
        <w:t xml:space="preserve"> del </w:t>
      </w:r>
      <w:r w:rsidR="00FF137D">
        <w:rPr>
          <w:rFonts w:ascii="Arial" w:hAnsi="Arial" w:cs="Arial"/>
          <w:w w:val="0"/>
          <w:lang w:val="es-AR"/>
        </w:rPr>
        <w:t>segundo</w:t>
      </w:r>
      <w:r>
        <w:rPr>
          <w:rFonts w:ascii="Arial" w:hAnsi="Arial" w:cs="Arial"/>
          <w:w w:val="0"/>
          <w:lang w:val="es-AR"/>
        </w:rPr>
        <w:t xml:space="preserve"> trimestre 2019</w:t>
      </w:r>
      <w:r w:rsidRPr="0080161E">
        <w:rPr>
          <w:rFonts w:ascii="Arial" w:hAnsi="Arial" w:cs="Arial"/>
          <w:w w:val="0"/>
          <w:lang w:val="es-AR"/>
        </w:rPr>
        <w:t xml:space="preserve"> </w:t>
      </w:r>
      <w:r w:rsidR="00F979C8">
        <w:rPr>
          <w:rFonts w:ascii="Arial" w:hAnsi="Arial" w:cs="Arial"/>
          <w:w w:val="0"/>
          <w:lang w:val="es-AR"/>
        </w:rPr>
        <w:t xml:space="preserve">totalizaron </w:t>
      </w:r>
      <w:proofErr w:type="spellStart"/>
      <w:r w:rsidR="00F979C8">
        <w:rPr>
          <w:rFonts w:ascii="Arial" w:hAnsi="Arial" w:cs="Arial"/>
          <w:w w:val="0"/>
          <w:lang w:val="es-AR"/>
        </w:rPr>
        <w:t>Ps</w:t>
      </w:r>
      <w:proofErr w:type="spellEnd"/>
      <w:r w:rsidR="00F979C8">
        <w:rPr>
          <w:rFonts w:ascii="Arial" w:hAnsi="Arial" w:cs="Arial"/>
          <w:w w:val="0"/>
          <w:lang w:val="es-AR"/>
        </w:rPr>
        <w:t xml:space="preserve"> 19,2 MM en comparación a los </w:t>
      </w:r>
      <w:proofErr w:type="spellStart"/>
      <w:r w:rsidR="00F979C8">
        <w:rPr>
          <w:rFonts w:ascii="Arial" w:hAnsi="Arial" w:cs="Arial"/>
          <w:w w:val="0"/>
          <w:lang w:val="es-AR"/>
        </w:rPr>
        <w:t>Ps</w:t>
      </w:r>
      <w:proofErr w:type="spellEnd"/>
      <w:r w:rsidR="00F979C8">
        <w:rPr>
          <w:rFonts w:ascii="Arial" w:hAnsi="Arial" w:cs="Arial"/>
          <w:w w:val="0"/>
          <w:lang w:val="es-AR"/>
        </w:rPr>
        <w:t xml:space="preserve"> 15,3</w:t>
      </w:r>
      <w:r>
        <w:rPr>
          <w:rFonts w:ascii="Arial" w:hAnsi="Arial" w:cs="Arial"/>
          <w:w w:val="0"/>
          <w:lang w:val="es-AR"/>
        </w:rPr>
        <w:t xml:space="preserve"> MM del </w:t>
      </w:r>
      <w:r w:rsidR="00FF137D">
        <w:rPr>
          <w:rFonts w:ascii="Arial" w:hAnsi="Arial" w:cs="Arial"/>
          <w:w w:val="0"/>
          <w:lang w:val="es-AR"/>
        </w:rPr>
        <w:t>segundo</w:t>
      </w:r>
      <w:r>
        <w:rPr>
          <w:rFonts w:ascii="Arial" w:hAnsi="Arial" w:cs="Arial"/>
          <w:w w:val="0"/>
          <w:lang w:val="es-AR"/>
        </w:rPr>
        <w:t xml:space="preserve"> trimestre 2018, lo que representa un</w:t>
      </w:r>
      <w:r w:rsidRPr="0080161E">
        <w:rPr>
          <w:rFonts w:ascii="Arial" w:hAnsi="Arial" w:cs="Arial"/>
          <w:w w:val="0"/>
          <w:lang w:val="es-AR"/>
        </w:rPr>
        <w:t xml:space="preserve"> </w:t>
      </w:r>
      <w:r w:rsidR="006A5DF9">
        <w:rPr>
          <w:rFonts w:ascii="Arial" w:hAnsi="Arial" w:cs="Arial"/>
          <w:w w:val="0"/>
          <w:lang w:val="es-AR"/>
        </w:rPr>
        <w:t xml:space="preserve">incremento de </w:t>
      </w:r>
      <w:proofErr w:type="spellStart"/>
      <w:r w:rsidR="006A5DF9">
        <w:rPr>
          <w:rFonts w:ascii="Arial" w:hAnsi="Arial" w:cs="Arial"/>
          <w:w w:val="0"/>
          <w:lang w:val="es-AR"/>
        </w:rPr>
        <w:t>Ps</w:t>
      </w:r>
      <w:proofErr w:type="spellEnd"/>
      <w:r w:rsidR="006A5DF9">
        <w:rPr>
          <w:rFonts w:ascii="Arial" w:hAnsi="Arial" w:cs="Arial"/>
          <w:w w:val="0"/>
          <w:lang w:val="es-AR"/>
        </w:rPr>
        <w:t xml:space="preserve"> 3,9</w:t>
      </w:r>
      <w:r w:rsidR="00F979C8">
        <w:rPr>
          <w:rFonts w:ascii="Arial" w:hAnsi="Arial" w:cs="Arial"/>
          <w:w w:val="0"/>
          <w:lang w:val="es-AR"/>
        </w:rPr>
        <w:t xml:space="preserve"> MM, o 25,9</w:t>
      </w:r>
      <w:r w:rsidRPr="0080161E">
        <w:rPr>
          <w:rFonts w:ascii="Arial" w:hAnsi="Arial" w:cs="Arial"/>
          <w:w w:val="0"/>
          <w:lang w:val="es-AR"/>
        </w:rPr>
        <w:t>%</w:t>
      </w:r>
      <w:r>
        <w:rPr>
          <w:rFonts w:ascii="Arial" w:hAnsi="Arial" w:cs="Arial"/>
          <w:w w:val="0"/>
          <w:lang w:val="es-AR"/>
        </w:rPr>
        <w:t>;</w:t>
      </w:r>
    </w:p>
    <w:p w14:paraId="76A1A029" w14:textId="3B6E9FD0" w:rsidR="004234AE" w:rsidRPr="004234AE" w:rsidRDefault="004234AE" w:rsidP="004234AE">
      <w:pPr>
        <w:pStyle w:val="BodyText"/>
        <w:numPr>
          <w:ilvl w:val="0"/>
          <w:numId w:val="5"/>
        </w:numPr>
        <w:spacing w:before="120" w:line="288" w:lineRule="auto"/>
        <w:ind w:left="987" w:hanging="284"/>
        <w:jc w:val="both"/>
        <w:rPr>
          <w:rFonts w:ascii="Arial" w:hAnsi="Arial" w:cs="Arial"/>
          <w:w w:val="0"/>
          <w:lang w:val="es-AR"/>
        </w:rPr>
      </w:pPr>
      <w:r w:rsidRPr="00CE62B1">
        <w:rPr>
          <w:rFonts w:ascii="Arial" w:hAnsi="Arial" w:cs="Arial"/>
          <w:w w:val="0"/>
          <w:lang w:val="es-AR"/>
        </w:rPr>
        <w:t>Las ventas de gas natural al segmento minorista (clientes residenciales, pequeñas industrias y comercios)</w:t>
      </w:r>
      <w:r>
        <w:rPr>
          <w:rFonts w:ascii="Arial" w:hAnsi="Arial" w:cs="Arial"/>
          <w:w w:val="0"/>
          <w:lang w:val="es-AR"/>
        </w:rPr>
        <w:t xml:space="preserve"> del </w:t>
      </w:r>
      <w:r w:rsidR="00FF137D">
        <w:rPr>
          <w:rFonts w:ascii="Arial" w:hAnsi="Arial" w:cs="Arial"/>
          <w:w w:val="0"/>
          <w:lang w:val="es-AR"/>
        </w:rPr>
        <w:t xml:space="preserve">segundo </w:t>
      </w:r>
      <w:r>
        <w:rPr>
          <w:rFonts w:ascii="Arial" w:hAnsi="Arial" w:cs="Arial"/>
          <w:w w:val="0"/>
          <w:lang w:val="es-AR"/>
        </w:rPr>
        <w:t>trimest</w:t>
      </w:r>
      <w:r w:rsidR="00F979C8">
        <w:rPr>
          <w:rFonts w:ascii="Arial" w:hAnsi="Arial" w:cs="Arial"/>
          <w:w w:val="0"/>
          <w:lang w:val="es-AR"/>
        </w:rPr>
        <w:t xml:space="preserve">re 2019 ascendieron a los </w:t>
      </w:r>
      <w:proofErr w:type="spellStart"/>
      <w:r w:rsidR="00F979C8">
        <w:rPr>
          <w:rFonts w:ascii="Arial" w:hAnsi="Arial" w:cs="Arial"/>
          <w:w w:val="0"/>
          <w:lang w:val="es-AR"/>
        </w:rPr>
        <w:t>Ps</w:t>
      </w:r>
      <w:proofErr w:type="spellEnd"/>
      <w:r w:rsidR="00F979C8">
        <w:rPr>
          <w:rFonts w:ascii="Arial" w:hAnsi="Arial" w:cs="Arial"/>
          <w:w w:val="0"/>
          <w:lang w:val="es-AR"/>
        </w:rPr>
        <w:t xml:space="preserve"> 9,7 MM frente a los </w:t>
      </w:r>
      <w:proofErr w:type="spellStart"/>
      <w:r w:rsidR="00F979C8">
        <w:rPr>
          <w:rFonts w:ascii="Arial" w:hAnsi="Arial" w:cs="Arial"/>
          <w:w w:val="0"/>
          <w:lang w:val="es-AR"/>
        </w:rPr>
        <w:t>Ps</w:t>
      </w:r>
      <w:proofErr w:type="spellEnd"/>
      <w:r w:rsidR="00F979C8">
        <w:rPr>
          <w:rFonts w:ascii="Arial" w:hAnsi="Arial" w:cs="Arial"/>
          <w:w w:val="0"/>
          <w:lang w:val="es-AR"/>
        </w:rPr>
        <w:t xml:space="preserve"> 5,4</w:t>
      </w:r>
      <w:r>
        <w:rPr>
          <w:rFonts w:ascii="Arial" w:hAnsi="Arial" w:cs="Arial"/>
          <w:w w:val="0"/>
          <w:lang w:val="es-AR"/>
        </w:rPr>
        <w:t xml:space="preserve"> MM del </w:t>
      </w:r>
      <w:r w:rsidR="00FF137D">
        <w:rPr>
          <w:rFonts w:ascii="Arial" w:hAnsi="Arial" w:cs="Arial"/>
          <w:w w:val="0"/>
          <w:lang w:val="es-AR"/>
        </w:rPr>
        <w:t>segundo</w:t>
      </w:r>
      <w:r>
        <w:rPr>
          <w:rFonts w:ascii="Arial" w:hAnsi="Arial" w:cs="Arial"/>
          <w:w w:val="0"/>
          <w:lang w:val="es-AR"/>
        </w:rPr>
        <w:t xml:space="preserve"> trimestre del 2018, lo que representa un incremento de</w:t>
      </w:r>
      <w:r w:rsidRPr="00CE62B1">
        <w:rPr>
          <w:rFonts w:ascii="Arial" w:hAnsi="Arial" w:cs="Arial"/>
          <w:w w:val="0"/>
          <w:lang w:val="es-AR"/>
        </w:rPr>
        <w:t xml:space="preserve"> </w:t>
      </w:r>
      <w:proofErr w:type="spellStart"/>
      <w:r w:rsidRPr="00CE62B1">
        <w:rPr>
          <w:rFonts w:ascii="Arial" w:hAnsi="Arial" w:cs="Arial"/>
          <w:w w:val="0"/>
          <w:lang w:val="es-AR"/>
        </w:rPr>
        <w:t>Ps</w:t>
      </w:r>
      <w:proofErr w:type="spellEnd"/>
      <w:r w:rsidR="00F979C8">
        <w:rPr>
          <w:rFonts w:ascii="Arial" w:hAnsi="Arial" w:cs="Arial"/>
          <w:w w:val="0"/>
          <w:lang w:val="es-AR"/>
        </w:rPr>
        <w:t xml:space="preserve"> 4,3</w:t>
      </w:r>
      <w:r>
        <w:rPr>
          <w:rFonts w:ascii="Arial" w:hAnsi="Arial" w:cs="Arial"/>
          <w:w w:val="0"/>
          <w:lang w:val="es-AR"/>
        </w:rPr>
        <w:t xml:space="preserve"> MM</w:t>
      </w:r>
      <w:r w:rsidRPr="00CE62B1">
        <w:rPr>
          <w:rFonts w:ascii="Arial" w:hAnsi="Arial" w:cs="Arial"/>
          <w:w w:val="0"/>
          <w:lang w:val="es-AR"/>
        </w:rPr>
        <w:t xml:space="preserve">, o </w:t>
      </w:r>
      <w:r w:rsidR="00F979C8">
        <w:rPr>
          <w:rFonts w:ascii="Arial" w:hAnsi="Arial" w:cs="Arial"/>
          <w:w w:val="0"/>
          <w:lang w:val="es-AR"/>
        </w:rPr>
        <w:t>80,4</w:t>
      </w:r>
      <w:r w:rsidRPr="00CE62B1">
        <w:rPr>
          <w:rFonts w:ascii="Arial" w:hAnsi="Arial" w:cs="Arial"/>
          <w:w w:val="0"/>
          <w:lang w:val="es-AR"/>
        </w:rPr>
        <w:t>%</w:t>
      </w:r>
      <w:r>
        <w:rPr>
          <w:rFonts w:ascii="Arial" w:hAnsi="Arial" w:cs="Arial"/>
          <w:w w:val="0"/>
          <w:lang w:val="es-AR"/>
        </w:rPr>
        <w:t>;</w:t>
      </w:r>
    </w:p>
    <w:bookmarkEnd w:id="65"/>
    <w:p w14:paraId="72BD9958" w14:textId="0D0F4EE0" w:rsidR="00695D0E" w:rsidRPr="0079650F" w:rsidRDefault="00BE46C2" w:rsidP="0079650F">
      <w:pPr>
        <w:pStyle w:val="BodyText"/>
        <w:numPr>
          <w:ilvl w:val="0"/>
          <w:numId w:val="5"/>
        </w:numPr>
        <w:spacing w:before="120" w:line="288" w:lineRule="auto"/>
        <w:ind w:left="987" w:hanging="284"/>
        <w:jc w:val="both"/>
        <w:rPr>
          <w:rFonts w:ascii="Arial" w:hAnsi="Arial" w:cs="Arial"/>
          <w:w w:val="0"/>
          <w:lang w:val="es-AR"/>
        </w:rPr>
      </w:pPr>
      <w:r w:rsidRPr="001E4703">
        <w:rPr>
          <w:rFonts w:ascii="Arial" w:hAnsi="Arial" w:cs="Arial"/>
          <w:w w:val="0"/>
          <w:lang w:val="es-AR"/>
        </w:rPr>
        <w:t>Las restantes ventas en el mercado interno</w:t>
      </w:r>
      <w:r>
        <w:rPr>
          <w:rFonts w:ascii="Arial" w:hAnsi="Arial" w:cs="Arial"/>
          <w:w w:val="0"/>
          <w:lang w:val="es-AR"/>
        </w:rPr>
        <w:t xml:space="preserve">, entre las que se destacan aquellas de </w:t>
      </w:r>
      <w:r w:rsidR="000B291E">
        <w:rPr>
          <w:rFonts w:ascii="Arial" w:hAnsi="Arial" w:cs="Arial"/>
          <w:w w:val="0"/>
          <w:lang w:val="es-AR"/>
        </w:rPr>
        <w:t>jet fuel,</w:t>
      </w:r>
      <w:r w:rsidR="0079650F">
        <w:rPr>
          <w:rFonts w:ascii="Arial" w:hAnsi="Arial" w:cs="Arial"/>
          <w:w w:val="0"/>
          <w:lang w:val="es-AR"/>
        </w:rPr>
        <w:t xml:space="preserve"> fertilizantes, petroquímicos, lubricantes</w:t>
      </w:r>
      <w:r w:rsidR="00731CB9">
        <w:rPr>
          <w:rFonts w:ascii="Arial" w:hAnsi="Arial" w:cs="Arial"/>
          <w:w w:val="0"/>
          <w:lang w:val="es-AR"/>
        </w:rPr>
        <w:t>,</w:t>
      </w:r>
      <w:r w:rsidR="001E6293">
        <w:rPr>
          <w:rFonts w:ascii="Arial" w:hAnsi="Arial" w:cs="Arial"/>
          <w:w w:val="0"/>
          <w:lang w:val="es-AR"/>
        </w:rPr>
        <w:t xml:space="preserve"> </w:t>
      </w:r>
      <w:r w:rsidR="00FD0CC6">
        <w:rPr>
          <w:rFonts w:ascii="Arial" w:hAnsi="Arial" w:cs="Arial"/>
          <w:w w:val="0"/>
          <w:lang w:val="es-AR"/>
        </w:rPr>
        <w:t>y GLP</w:t>
      </w:r>
      <w:r w:rsidR="000B291E" w:rsidRPr="0079650F">
        <w:rPr>
          <w:rFonts w:ascii="Arial" w:hAnsi="Arial" w:cs="Arial"/>
          <w:w w:val="0"/>
          <w:lang w:val="es-AR"/>
        </w:rPr>
        <w:t xml:space="preserve">, entre otros, </w:t>
      </w:r>
      <w:r w:rsidR="00695D0E" w:rsidRPr="0079650F">
        <w:rPr>
          <w:rFonts w:ascii="Arial" w:hAnsi="Arial" w:cs="Arial"/>
          <w:w w:val="0"/>
          <w:lang w:val="es-AR"/>
        </w:rPr>
        <w:t xml:space="preserve">totalizaron </w:t>
      </w:r>
      <w:proofErr w:type="spellStart"/>
      <w:r w:rsidR="00695D0E" w:rsidRPr="0079650F">
        <w:rPr>
          <w:rFonts w:ascii="Arial" w:hAnsi="Arial" w:cs="Arial"/>
          <w:w w:val="0"/>
          <w:lang w:val="es-AR"/>
        </w:rPr>
        <w:t>Ps</w:t>
      </w:r>
      <w:proofErr w:type="spellEnd"/>
      <w:r w:rsidR="00695D0E" w:rsidRPr="0079650F">
        <w:rPr>
          <w:rFonts w:ascii="Arial" w:hAnsi="Arial" w:cs="Arial"/>
          <w:w w:val="0"/>
          <w:lang w:val="es-AR"/>
        </w:rPr>
        <w:t xml:space="preserve"> </w:t>
      </w:r>
      <w:r w:rsidR="00F979C8" w:rsidRPr="0079650F">
        <w:rPr>
          <w:rFonts w:ascii="Arial" w:hAnsi="Arial" w:cs="Arial"/>
          <w:w w:val="0"/>
          <w:lang w:val="es-AR"/>
        </w:rPr>
        <w:t>23,9</w:t>
      </w:r>
      <w:r w:rsidR="0089090A" w:rsidRPr="0079650F">
        <w:rPr>
          <w:rFonts w:ascii="Arial" w:hAnsi="Arial" w:cs="Arial"/>
          <w:w w:val="0"/>
          <w:lang w:val="es-AR"/>
        </w:rPr>
        <w:t xml:space="preserve"> </w:t>
      </w:r>
      <w:r w:rsidRPr="0079650F">
        <w:rPr>
          <w:rFonts w:ascii="Arial" w:hAnsi="Arial" w:cs="Arial"/>
          <w:w w:val="0"/>
          <w:lang w:val="es-AR"/>
        </w:rPr>
        <w:t xml:space="preserve">MM, reportando un incremento de </w:t>
      </w:r>
      <w:proofErr w:type="spellStart"/>
      <w:r w:rsidR="00695D0E" w:rsidRPr="0079650F">
        <w:rPr>
          <w:rFonts w:ascii="Arial" w:hAnsi="Arial" w:cs="Arial"/>
          <w:w w:val="0"/>
          <w:lang w:val="es-AR"/>
        </w:rPr>
        <w:t>Ps</w:t>
      </w:r>
      <w:proofErr w:type="spellEnd"/>
      <w:r w:rsidR="00695D0E" w:rsidRPr="0079650F">
        <w:rPr>
          <w:rFonts w:ascii="Arial" w:hAnsi="Arial" w:cs="Arial"/>
          <w:w w:val="0"/>
          <w:lang w:val="es-AR"/>
        </w:rPr>
        <w:t xml:space="preserve"> </w:t>
      </w:r>
      <w:r w:rsidR="00F979C8" w:rsidRPr="0079650F">
        <w:rPr>
          <w:rFonts w:ascii="Arial" w:hAnsi="Arial" w:cs="Arial"/>
          <w:w w:val="0"/>
          <w:lang w:val="es-AR"/>
        </w:rPr>
        <w:t>9,8</w:t>
      </w:r>
      <w:r w:rsidR="0089090A" w:rsidRPr="0079650F">
        <w:rPr>
          <w:rFonts w:ascii="Arial" w:hAnsi="Arial" w:cs="Arial"/>
          <w:w w:val="0"/>
          <w:lang w:val="es-AR"/>
        </w:rPr>
        <w:t xml:space="preserve"> </w:t>
      </w:r>
      <w:r w:rsidRPr="0079650F">
        <w:rPr>
          <w:rFonts w:ascii="Arial" w:hAnsi="Arial" w:cs="Arial"/>
          <w:w w:val="0"/>
          <w:lang w:val="es-AR"/>
        </w:rPr>
        <w:t>MM o</w:t>
      </w:r>
      <w:r w:rsidR="00695D0E" w:rsidRPr="0079650F">
        <w:rPr>
          <w:rFonts w:ascii="Arial" w:hAnsi="Arial" w:cs="Arial"/>
          <w:w w:val="0"/>
          <w:lang w:val="es-AR"/>
        </w:rPr>
        <w:t xml:space="preserve"> </w:t>
      </w:r>
      <w:r w:rsidR="00F979C8" w:rsidRPr="0079650F">
        <w:rPr>
          <w:rFonts w:ascii="Arial" w:hAnsi="Arial" w:cs="Arial"/>
          <w:w w:val="0"/>
          <w:lang w:val="es-AR"/>
        </w:rPr>
        <w:t>70,0</w:t>
      </w:r>
      <w:r w:rsidRPr="0079650F">
        <w:rPr>
          <w:rFonts w:ascii="Arial" w:hAnsi="Arial" w:cs="Arial"/>
          <w:w w:val="0"/>
          <w:lang w:val="es-AR"/>
        </w:rPr>
        <w:t>%</w:t>
      </w:r>
      <w:r w:rsidR="00695D0E" w:rsidRPr="0079650F">
        <w:rPr>
          <w:rFonts w:ascii="Arial" w:hAnsi="Arial" w:cs="Arial"/>
          <w:w w:val="0"/>
          <w:lang w:val="es-AR"/>
        </w:rPr>
        <w:t xml:space="preserve"> en comparación a los </w:t>
      </w:r>
      <w:proofErr w:type="spellStart"/>
      <w:r w:rsidR="00695D0E" w:rsidRPr="0079650F">
        <w:rPr>
          <w:rFonts w:ascii="Arial" w:hAnsi="Arial" w:cs="Arial"/>
          <w:w w:val="0"/>
          <w:lang w:val="es-AR"/>
        </w:rPr>
        <w:t>Ps</w:t>
      </w:r>
      <w:proofErr w:type="spellEnd"/>
      <w:r w:rsidR="00695D0E" w:rsidRPr="0079650F">
        <w:rPr>
          <w:rFonts w:ascii="Arial" w:hAnsi="Arial" w:cs="Arial"/>
          <w:w w:val="0"/>
          <w:lang w:val="es-AR"/>
        </w:rPr>
        <w:t xml:space="preserve"> </w:t>
      </w:r>
      <w:r w:rsidR="00F979C8" w:rsidRPr="0079650F">
        <w:rPr>
          <w:rFonts w:ascii="Arial" w:hAnsi="Arial" w:cs="Arial"/>
          <w:w w:val="0"/>
          <w:lang w:val="es-AR"/>
        </w:rPr>
        <w:t>14,1</w:t>
      </w:r>
      <w:r w:rsidR="00874416" w:rsidRPr="0079650F">
        <w:rPr>
          <w:rFonts w:ascii="Arial" w:hAnsi="Arial" w:cs="Arial"/>
          <w:w w:val="0"/>
          <w:lang w:val="es-AR"/>
        </w:rPr>
        <w:t xml:space="preserve"> </w:t>
      </w:r>
      <w:r w:rsidRPr="0079650F">
        <w:rPr>
          <w:rFonts w:ascii="Arial" w:hAnsi="Arial" w:cs="Arial"/>
          <w:w w:val="0"/>
          <w:lang w:val="es-AR"/>
        </w:rPr>
        <w:t xml:space="preserve">MM del </w:t>
      </w:r>
      <w:r w:rsidR="00FF137D" w:rsidRPr="0079650F">
        <w:rPr>
          <w:rFonts w:ascii="Arial" w:hAnsi="Arial" w:cs="Arial"/>
          <w:w w:val="0"/>
          <w:lang w:val="es-AR"/>
        </w:rPr>
        <w:t xml:space="preserve">segundo </w:t>
      </w:r>
      <w:r w:rsidR="008C02A5" w:rsidRPr="0079650F">
        <w:rPr>
          <w:rFonts w:ascii="Arial" w:hAnsi="Arial" w:cs="Arial"/>
          <w:w w:val="0"/>
          <w:lang w:val="es-AR"/>
        </w:rPr>
        <w:t xml:space="preserve">trimestre </w:t>
      </w:r>
      <w:r w:rsidR="00241A3E" w:rsidRPr="0079650F">
        <w:rPr>
          <w:rFonts w:ascii="Arial" w:hAnsi="Arial" w:cs="Arial"/>
          <w:w w:val="0"/>
          <w:lang w:val="es-AR"/>
        </w:rPr>
        <w:t>2018</w:t>
      </w:r>
      <w:r w:rsidRPr="0079650F">
        <w:rPr>
          <w:rFonts w:ascii="Arial" w:hAnsi="Arial" w:cs="Arial"/>
          <w:w w:val="0"/>
          <w:lang w:val="es-AR"/>
        </w:rPr>
        <w:t xml:space="preserve">; </w:t>
      </w:r>
    </w:p>
    <w:p w14:paraId="7F4BFA4F" w14:textId="3BAA0AAB" w:rsidR="00241A3E" w:rsidRDefault="00BE46C2" w:rsidP="00BE71AD">
      <w:pPr>
        <w:pStyle w:val="BodyText"/>
        <w:numPr>
          <w:ilvl w:val="0"/>
          <w:numId w:val="5"/>
        </w:numPr>
        <w:spacing w:before="120" w:line="288" w:lineRule="auto"/>
        <w:ind w:left="987" w:hanging="284"/>
        <w:jc w:val="both"/>
        <w:rPr>
          <w:rFonts w:ascii="Arial" w:hAnsi="Arial" w:cs="Arial"/>
          <w:w w:val="0"/>
          <w:lang w:val="es-AR"/>
        </w:rPr>
      </w:pPr>
      <w:r w:rsidRPr="00695D0E">
        <w:rPr>
          <w:rFonts w:ascii="Arial" w:hAnsi="Arial" w:cs="Arial"/>
          <w:w w:val="0"/>
          <w:lang w:val="es-AR"/>
        </w:rPr>
        <w:t xml:space="preserve">Los ingresos obtenidos en el mercado externo </w:t>
      </w:r>
      <w:r w:rsidR="006E2A7C" w:rsidRPr="00695D0E">
        <w:rPr>
          <w:rFonts w:ascii="Arial" w:hAnsi="Arial" w:cs="Arial"/>
          <w:w w:val="0"/>
          <w:lang w:val="es-AR"/>
        </w:rPr>
        <w:t xml:space="preserve">durante el </w:t>
      </w:r>
      <w:r w:rsidR="00FF137D">
        <w:rPr>
          <w:rFonts w:ascii="Arial" w:hAnsi="Arial" w:cs="Arial"/>
          <w:w w:val="0"/>
          <w:lang w:val="es-AR"/>
        </w:rPr>
        <w:t>segundo</w:t>
      </w:r>
      <w:r w:rsidR="00241A3E">
        <w:rPr>
          <w:rFonts w:ascii="Arial" w:hAnsi="Arial" w:cs="Arial"/>
          <w:w w:val="0"/>
          <w:lang w:val="es-AR"/>
        </w:rPr>
        <w:t xml:space="preserve"> trimestre 2019</w:t>
      </w:r>
      <w:r w:rsidR="006E2A7C" w:rsidRPr="00695D0E">
        <w:rPr>
          <w:rFonts w:ascii="Arial" w:hAnsi="Arial" w:cs="Arial"/>
          <w:w w:val="0"/>
          <w:lang w:val="es-AR"/>
        </w:rPr>
        <w:t xml:space="preserve"> alcanzaron</w:t>
      </w:r>
      <w:r w:rsidR="000D2A43">
        <w:rPr>
          <w:rFonts w:ascii="Arial" w:hAnsi="Arial" w:cs="Arial"/>
          <w:w w:val="0"/>
          <w:lang w:val="es-AR"/>
        </w:rPr>
        <w:t xml:space="preserve"> los </w:t>
      </w:r>
      <w:proofErr w:type="spellStart"/>
      <w:r w:rsidR="000D2A43">
        <w:rPr>
          <w:rFonts w:ascii="Arial" w:hAnsi="Arial" w:cs="Arial"/>
          <w:w w:val="0"/>
          <w:lang w:val="es-AR"/>
        </w:rPr>
        <w:t>Ps</w:t>
      </w:r>
      <w:proofErr w:type="spellEnd"/>
      <w:r w:rsidR="000D2A43">
        <w:rPr>
          <w:rFonts w:ascii="Arial" w:hAnsi="Arial" w:cs="Arial"/>
          <w:w w:val="0"/>
          <w:lang w:val="es-AR"/>
        </w:rPr>
        <w:t xml:space="preserve"> 21,5</w:t>
      </w:r>
      <w:r w:rsidRPr="00695D0E">
        <w:rPr>
          <w:rFonts w:ascii="Arial" w:hAnsi="Arial" w:cs="Arial"/>
          <w:w w:val="0"/>
          <w:lang w:val="es-AR"/>
        </w:rPr>
        <w:t xml:space="preserve"> MM, con un incremento </w:t>
      </w:r>
      <w:r w:rsidR="006E2A7C" w:rsidRPr="00695D0E">
        <w:rPr>
          <w:rFonts w:ascii="Arial" w:hAnsi="Arial" w:cs="Arial"/>
          <w:w w:val="0"/>
          <w:lang w:val="es-AR"/>
        </w:rPr>
        <w:t xml:space="preserve">de </w:t>
      </w:r>
      <w:proofErr w:type="spellStart"/>
      <w:r w:rsidR="006E2A7C" w:rsidRPr="00695D0E">
        <w:rPr>
          <w:rFonts w:ascii="Arial" w:hAnsi="Arial" w:cs="Arial"/>
          <w:w w:val="0"/>
          <w:lang w:val="es-AR"/>
        </w:rPr>
        <w:t>Ps</w:t>
      </w:r>
      <w:proofErr w:type="spellEnd"/>
      <w:r w:rsidRPr="00695D0E">
        <w:rPr>
          <w:rFonts w:ascii="Arial" w:hAnsi="Arial" w:cs="Arial"/>
          <w:w w:val="0"/>
          <w:lang w:val="es-AR"/>
        </w:rPr>
        <w:t xml:space="preserve"> </w:t>
      </w:r>
      <w:r w:rsidR="000D2A43">
        <w:rPr>
          <w:rFonts w:ascii="Arial" w:hAnsi="Arial" w:cs="Arial"/>
          <w:w w:val="0"/>
          <w:lang w:val="es-AR"/>
        </w:rPr>
        <w:t>11,4</w:t>
      </w:r>
      <w:r w:rsidR="00695D0E">
        <w:rPr>
          <w:rFonts w:ascii="Arial" w:hAnsi="Arial" w:cs="Arial"/>
          <w:w w:val="0"/>
          <w:lang w:val="es-AR"/>
        </w:rPr>
        <w:t xml:space="preserve"> </w:t>
      </w:r>
      <w:r w:rsidRPr="00695D0E">
        <w:rPr>
          <w:rFonts w:ascii="Arial" w:hAnsi="Arial" w:cs="Arial"/>
          <w:w w:val="0"/>
          <w:lang w:val="es-AR"/>
        </w:rPr>
        <w:t xml:space="preserve">MM, o </w:t>
      </w:r>
      <w:r w:rsidR="000D2A43">
        <w:rPr>
          <w:rFonts w:ascii="Arial" w:hAnsi="Arial" w:cs="Arial"/>
          <w:w w:val="0"/>
          <w:lang w:val="es-AR"/>
        </w:rPr>
        <w:t>112,4</w:t>
      </w:r>
      <w:r w:rsidRPr="00695D0E">
        <w:rPr>
          <w:rFonts w:ascii="Arial" w:hAnsi="Arial" w:cs="Arial"/>
          <w:w w:val="0"/>
          <w:lang w:val="es-AR"/>
        </w:rPr>
        <w:t>%</w:t>
      </w:r>
      <w:r w:rsidR="000D2A43">
        <w:rPr>
          <w:rFonts w:ascii="Arial" w:hAnsi="Arial" w:cs="Arial"/>
          <w:w w:val="0"/>
          <w:lang w:val="es-AR"/>
        </w:rPr>
        <w:t xml:space="preserve">, frente a los </w:t>
      </w:r>
      <w:proofErr w:type="spellStart"/>
      <w:r w:rsidR="000D2A43">
        <w:rPr>
          <w:rFonts w:ascii="Arial" w:hAnsi="Arial" w:cs="Arial"/>
          <w:w w:val="0"/>
          <w:lang w:val="es-AR"/>
        </w:rPr>
        <w:t>Ps</w:t>
      </w:r>
      <w:proofErr w:type="spellEnd"/>
      <w:r w:rsidR="000D2A43">
        <w:rPr>
          <w:rFonts w:ascii="Arial" w:hAnsi="Arial" w:cs="Arial"/>
          <w:w w:val="0"/>
          <w:lang w:val="es-AR"/>
        </w:rPr>
        <w:t xml:space="preserve"> 10,1</w:t>
      </w:r>
      <w:r w:rsidRPr="00695D0E">
        <w:rPr>
          <w:rFonts w:ascii="Arial" w:hAnsi="Arial" w:cs="Arial"/>
          <w:w w:val="0"/>
          <w:lang w:val="es-AR"/>
        </w:rPr>
        <w:t xml:space="preserve"> MM del </w:t>
      </w:r>
      <w:r w:rsidR="00FF137D">
        <w:rPr>
          <w:rFonts w:ascii="Arial" w:hAnsi="Arial" w:cs="Arial"/>
          <w:w w:val="0"/>
          <w:lang w:val="es-AR"/>
        </w:rPr>
        <w:t xml:space="preserve">segundo </w:t>
      </w:r>
      <w:r w:rsidR="006E2A7C" w:rsidRPr="00695D0E">
        <w:rPr>
          <w:rFonts w:ascii="Arial" w:hAnsi="Arial" w:cs="Arial"/>
          <w:w w:val="0"/>
          <w:lang w:val="es-AR"/>
        </w:rPr>
        <w:t>trimestre</w:t>
      </w:r>
      <w:r w:rsidR="00241A3E">
        <w:rPr>
          <w:rFonts w:ascii="Arial" w:hAnsi="Arial" w:cs="Arial"/>
          <w:w w:val="0"/>
          <w:lang w:val="es-AR"/>
        </w:rPr>
        <w:t xml:space="preserve"> 2018</w:t>
      </w:r>
      <w:r w:rsidRPr="00695D0E">
        <w:rPr>
          <w:rFonts w:ascii="Arial" w:hAnsi="Arial" w:cs="Arial"/>
          <w:w w:val="0"/>
          <w:lang w:val="es-AR"/>
        </w:rPr>
        <w:t>.</w:t>
      </w:r>
    </w:p>
    <w:p w14:paraId="60C6575E" w14:textId="77777777" w:rsidR="004234AE" w:rsidRPr="004234AE" w:rsidRDefault="004234AE" w:rsidP="004234AE">
      <w:pPr>
        <w:pStyle w:val="BodyText"/>
        <w:spacing w:before="120" w:line="288" w:lineRule="auto"/>
        <w:ind w:left="987"/>
        <w:jc w:val="both"/>
        <w:rPr>
          <w:rFonts w:ascii="Arial" w:hAnsi="Arial" w:cs="Arial"/>
          <w:w w:val="0"/>
          <w:lang w:val="es-AR"/>
        </w:rPr>
      </w:pPr>
    </w:p>
    <w:p w14:paraId="2638F922" w14:textId="5FD5A47F" w:rsidR="00097FB9" w:rsidRDefault="00BE71AD" w:rsidP="00BE71AD">
      <w:pPr>
        <w:spacing w:line="288" w:lineRule="auto"/>
        <w:jc w:val="both"/>
        <w:rPr>
          <w:rFonts w:ascii="Arial" w:hAnsi="Arial" w:cs="Arial"/>
          <w:w w:val="0"/>
          <w:lang w:val="es-AR"/>
        </w:rPr>
      </w:pPr>
      <w:bookmarkStart w:id="66" w:name="_Hlk7600387"/>
      <w:r w:rsidRPr="009E5802">
        <w:rPr>
          <w:rFonts w:ascii="Arial" w:hAnsi="Arial" w:cs="Arial"/>
          <w:w w:val="0"/>
          <w:lang w:val="es-AR"/>
        </w:rPr>
        <w:t xml:space="preserve">El costo de ventas en el </w:t>
      </w:r>
      <w:r w:rsidR="00FF137D">
        <w:rPr>
          <w:rFonts w:ascii="Arial" w:hAnsi="Arial" w:cs="Arial"/>
          <w:w w:val="0"/>
          <w:lang w:val="es-AR"/>
        </w:rPr>
        <w:t>segundo</w:t>
      </w:r>
      <w:r w:rsidR="00241A3E" w:rsidRPr="009E5802">
        <w:rPr>
          <w:rFonts w:ascii="Arial" w:hAnsi="Arial" w:cs="Arial"/>
          <w:w w:val="0"/>
          <w:lang w:val="es-AR"/>
        </w:rPr>
        <w:t xml:space="preserve"> trimestre de 2019</w:t>
      </w:r>
      <w:r w:rsidRPr="009E5802">
        <w:rPr>
          <w:rFonts w:ascii="Arial" w:hAnsi="Arial" w:cs="Arial"/>
          <w:w w:val="0"/>
          <w:lang w:val="es-AR"/>
        </w:rPr>
        <w:t xml:space="preserve"> fue de </w:t>
      </w:r>
      <w:proofErr w:type="spellStart"/>
      <w:r w:rsidR="000D2A43">
        <w:rPr>
          <w:rFonts w:ascii="Arial" w:hAnsi="Arial" w:cs="Arial"/>
          <w:w w:val="0"/>
          <w:lang w:val="es-AR"/>
        </w:rPr>
        <w:t>Ps</w:t>
      </w:r>
      <w:proofErr w:type="spellEnd"/>
      <w:r w:rsidR="000D2A43">
        <w:rPr>
          <w:rFonts w:ascii="Arial" w:hAnsi="Arial" w:cs="Arial"/>
          <w:w w:val="0"/>
          <w:lang w:val="es-AR"/>
        </w:rPr>
        <w:t xml:space="preserve"> 134,2</w:t>
      </w:r>
      <w:r w:rsidRPr="009E5802">
        <w:rPr>
          <w:rFonts w:ascii="Arial" w:hAnsi="Arial" w:cs="Arial"/>
          <w:w w:val="0"/>
          <w:lang w:val="es-AR"/>
        </w:rPr>
        <w:t xml:space="preserve"> MM, un </w:t>
      </w:r>
      <w:r w:rsidR="000542C6">
        <w:rPr>
          <w:rFonts w:ascii="Arial" w:hAnsi="Arial" w:cs="Arial"/>
          <w:w w:val="0"/>
          <w:lang w:val="es-AR"/>
        </w:rPr>
        <w:t>6</w:t>
      </w:r>
      <w:r w:rsidR="000D2A43">
        <w:rPr>
          <w:rFonts w:ascii="Arial" w:hAnsi="Arial" w:cs="Arial"/>
          <w:w w:val="0"/>
          <w:lang w:val="es-AR"/>
        </w:rPr>
        <w:t>3,7</w:t>
      </w:r>
      <w:r w:rsidRPr="009E5802">
        <w:rPr>
          <w:rFonts w:ascii="Arial" w:hAnsi="Arial" w:cs="Arial"/>
          <w:w w:val="0"/>
          <w:lang w:val="es-AR"/>
        </w:rPr>
        <w:t xml:space="preserve">% superior al del </w:t>
      </w:r>
      <w:r w:rsidR="002F7D1A">
        <w:rPr>
          <w:rFonts w:ascii="Arial" w:hAnsi="Arial" w:cs="Arial"/>
          <w:w w:val="0"/>
          <w:lang w:val="es-AR"/>
        </w:rPr>
        <w:t>segundo</w:t>
      </w:r>
      <w:r w:rsidRPr="009E5802">
        <w:rPr>
          <w:rFonts w:ascii="Arial" w:hAnsi="Arial" w:cs="Arial"/>
          <w:w w:val="0"/>
          <w:lang w:val="es-AR"/>
        </w:rPr>
        <w:t xml:space="preserve"> trimestre de </w:t>
      </w:r>
      <w:r w:rsidR="00241A3E" w:rsidRPr="009E5802">
        <w:rPr>
          <w:rFonts w:ascii="Arial" w:hAnsi="Arial" w:cs="Arial"/>
          <w:w w:val="0"/>
          <w:lang w:val="es-AR"/>
        </w:rPr>
        <w:t>2018</w:t>
      </w:r>
      <w:r w:rsidRPr="009E5802">
        <w:rPr>
          <w:rFonts w:ascii="Arial" w:hAnsi="Arial" w:cs="Arial"/>
          <w:w w:val="0"/>
          <w:lang w:val="es-AR"/>
        </w:rPr>
        <w:t>, incluyendo incrementos en</w:t>
      </w:r>
      <w:r w:rsidR="000D2A43">
        <w:rPr>
          <w:rFonts w:ascii="Arial" w:hAnsi="Arial" w:cs="Arial"/>
          <w:w w:val="0"/>
          <w:lang w:val="es-AR"/>
        </w:rPr>
        <w:t xml:space="preserve"> los costos de producción del 63,7</w:t>
      </w:r>
      <w:r w:rsidRPr="009E5802">
        <w:rPr>
          <w:rFonts w:ascii="Arial" w:hAnsi="Arial" w:cs="Arial"/>
          <w:w w:val="0"/>
          <w:lang w:val="es-AR"/>
        </w:rPr>
        <w:t>%</w:t>
      </w:r>
      <w:r w:rsidR="00B22D7D" w:rsidRPr="009E5802">
        <w:rPr>
          <w:rFonts w:ascii="Arial" w:hAnsi="Arial" w:cs="Arial"/>
          <w:w w:val="0"/>
          <w:lang w:val="es-AR"/>
        </w:rPr>
        <w:t xml:space="preserve"> </w:t>
      </w:r>
      <w:r w:rsidRPr="009E5802">
        <w:rPr>
          <w:rFonts w:ascii="Arial" w:hAnsi="Arial" w:cs="Arial"/>
          <w:w w:val="0"/>
          <w:lang w:val="es-AR"/>
        </w:rPr>
        <w:t xml:space="preserve">y en </w:t>
      </w:r>
      <w:r w:rsidR="005226A7" w:rsidRPr="009E5802">
        <w:rPr>
          <w:rFonts w:ascii="Arial" w:hAnsi="Arial" w:cs="Arial"/>
          <w:w w:val="0"/>
          <w:lang w:val="es-AR"/>
        </w:rPr>
        <w:t xml:space="preserve">las </w:t>
      </w:r>
      <w:r w:rsidR="000D2A43">
        <w:rPr>
          <w:rFonts w:ascii="Arial" w:hAnsi="Arial" w:cs="Arial"/>
          <w:w w:val="0"/>
          <w:lang w:val="es-AR"/>
        </w:rPr>
        <w:t>compras del 89,1</w:t>
      </w:r>
      <w:r w:rsidR="00F61C4D">
        <w:rPr>
          <w:rFonts w:ascii="Arial" w:hAnsi="Arial" w:cs="Arial"/>
          <w:w w:val="0"/>
          <w:lang w:val="es-AR"/>
        </w:rPr>
        <w:t>%.</w:t>
      </w:r>
      <w:r w:rsidRPr="009E5802">
        <w:rPr>
          <w:rFonts w:ascii="Arial" w:hAnsi="Arial" w:cs="Arial"/>
          <w:w w:val="0"/>
          <w:lang w:val="es-AR"/>
        </w:rPr>
        <w:t xml:space="preserve"> Los costos </w:t>
      </w:r>
      <w:proofErr w:type="spellStart"/>
      <w:r w:rsidRPr="009E5802">
        <w:rPr>
          <w:rFonts w:ascii="Arial" w:hAnsi="Arial" w:cs="Arial"/>
          <w:w w:val="0"/>
          <w:lang w:val="es-AR"/>
        </w:rPr>
        <w:t>erogables</w:t>
      </w:r>
      <w:proofErr w:type="spellEnd"/>
      <w:r w:rsidRPr="009E5802">
        <w:rPr>
          <w:rFonts w:ascii="Arial" w:hAnsi="Arial" w:cs="Arial"/>
          <w:w w:val="0"/>
          <w:lang w:val="es-AR"/>
        </w:rPr>
        <w:t xml:space="preserve"> incluyendo costos de producción y compras, pero excluyendo depreciaciones y amortizaciones </w:t>
      </w:r>
      <w:r w:rsidR="000D2A43">
        <w:rPr>
          <w:rFonts w:ascii="Arial" w:hAnsi="Arial" w:cs="Arial"/>
          <w:w w:val="0"/>
          <w:lang w:val="es-AR"/>
        </w:rPr>
        <w:t>aumentaron 81,8</w:t>
      </w:r>
      <w:r w:rsidRPr="009E5802">
        <w:rPr>
          <w:rFonts w:ascii="Arial" w:hAnsi="Arial" w:cs="Arial"/>
          <w:w w:val="0"/>
          <w:lang w:val="es-AR"/>
        </w:rPr>
        <w:t>%. En cuanto a las principales causas de la variación, se destacan:</w:t>
      </w:r>
    </w:p>
    <w:p w14:paraId="76EC0AB1" w14:textId="2BC48354" w:rsidR="00097FB9" w:rsidRDefault="00097FB9" w:rsidP="00BE71AD">
      <w:pPr>
        <w:spacing w:line="288" w:lineRule="auto"/>
        <w:jc w:val="both"/>
        <w:rPr>
          <w:rFonts w:ascii="Arial" w:hAnsi="Arial" w:cs="Arial"/>
          <w:w w:val="0"/>
          <w:lang w:val="es-AR"/>
        </w:rPr>
      </w:pPr>
    </w:p>
    <w:p w14:paraId="2CEF02DC" w14:textId="78082037" w:rsidR="00450404" w:rsidRDefault="00450404" w:rsidP="00BE71AD">
      <w:pPr>
        <w:spacing w:line="288" w:lineRule="auto"/>
        <w:jc w:val="both"/>
        <w:rPr>
          <w:rFonts w:ascii="Arial" w:hAnsi="Arial" w:cs="Arial"/>
          <w:w w:val="0"/>
          <w:lang w:val="es-AR"/>
        </w:rPr>
      </w:pPr>
    </w:p>
    <w:p w14:paraId="6AC8C9F3" w14:textId="576EFDD9" w:rsidR="00450404" w:rsidRDefault="00450404" w:rsidP="00BE71AD">
      <w:pPr>
        <w:spacing w:line="288" w:lineRule="auto"/>
        <w:jc w:val="both"/>
        <w:rPr>
          <w:rFonts w:ascii="Arial" w:hAnsi="Arial" w:cs="Arial"/>
          <w:w w:val="0"/>
          <w:lang w:val="es-AR"/>
        </w:rPr>
      </w:pPr>
    </w:p>
    <w:p w14:paraId="580D4D70" w14:textId="77777777" w:rsidR="00450404" w:rsidRDefault="00450404" w:rsidP="00BE71AD">
      <w:pPr>
        <w:spacing w:line="288" w:lineRule="auto"/>
        <w:jc w:val="both"/>
        <w:rPr>
          <w:rFonts w:ascii="Arial" w:hAnsi="Arial" w:cs="Arial"/>
          <w:w w:val="0"/>
          <w:lang w:val="es-AR"/>
        </w:rPr>
      </w:pPr>
    </w:p>
    <w:bookmarkEnd w:id="66"/>
    <w:p w14:paraId="68494DBC" w14:textId="77777777" w:rsidR="005226A7" w:rsidRPr="00E04AB2" w:rsidRDefault="005226A7" w:rsidP="00BE71AD">
      <w:pPr>
        <w:spacing w:line="288" w:lineRule="auto"/>
        <w:jc w:val="both"/>
        <w:rPr>
          <w:rFonts w:ascii="Arial" w:hAnsi="Arial" w:cs="Arial"/>
          <w:w w:val="0"/>
          <w:lang w:val="es-AR"/>
        </w:rPr>
      </w:pPr>
    </w:p>
    <w:p w14:paraId="450675FD" w14:textId="41031C82" w:rsidR="00237DE1" w:rsidRPr="00BE71AD" w:rsidRDefault="00BE71AD" w:rsidP="00BE71AD">
      <w:pPr>
        <w:pStyle w:val="ListParagraph"/>
        <w:numPr>
          <w:ilvl w:val="0"/>
          <w:numId w:val="14"/>
        </w:numPr>
        <w:spacing w:line="288" w:lineRule="auto"/>
        <w:jc w:val="both"/>
        <w:rPr>
          <w:rFonts w:ascii="Arial" w:hAnsi="Arial" w:cs="Arial"/>
          <w:i/>
          <w:w w:val="0"/>
          <w:lang w:val="es-AR"/>
        </w:rPr>
      </w:pPr>
      <w:r w:rsidRPr="004846B3">
        <w:rPr>
          <w:rFonts w:ascii="Arial" w:hAnsi="Arial" w:cs="Arial"/>
          <w:i/>
          <w:w w:val="0"/>
          <w:lang w:val="es-AR"/>
        </w:rPr>
        <w:lastRenderedPageBreak/>
        <w:t>Costos de producción</w:t>
      </w:r>
    </w:p>
    <w:p w14:paraId="79693E5A" w14:textId="42212F7F" w:rsidR="003B3A1A" w:rsidRPr="00300612" w:rsidDel="00F61C4D" w:rsidRDefault="003B3A1A" w:rsidP="00485C1E">
      <w:pPr>
        <w:pStyle w:val="BodyText"/>
        <w:numPr>
          <w:ilvl w:val="0"/>
          <w:numId w:val="5"/>
        </w:numPr>
        <w:spacing w:before="120" w:line="288" w:lineRule="auto"/>
        <w:ind w:left="987" w:hanging="284"/>
        <w:jc w:val="both"/>
        <w:rPr>
          <w:rFonts w:ascii="Arial" w:hAnsi="Arial" w:cs="Arial"/>
          <w:w w:val="0"/>
          <w:lang w:val="es-AR"/>
        </w:rPr>
      </w:pPr>
      <w:r w:rsidRPr="00300612" w:rsidDel="00F61C4D">
        <w:rPr>
          <w:rFonts w:ascii="Arial" w:hAnsi="Arial" w:cs="Arial"/>
          <w:w w:val="0"/>
          <w:lang w:val="es-AR"/>
        </w:rPr>
        <w:t xml:space="preserve">Las depreciaciones de propiedades, planta y equipo </w:t>
      </w:r>
      <w:r w:rsidR="00450404">
        <w:rPr>
          <w:rFonts w:ascii="Arial" w:hAnsi="Arial" w:cs="Arial"/>
          <w:w w:val="0"/>
          <w:lang w:val="es-AR"/>
        </w:rPr>
        <w:t xml:space="preserve">ascendieron a </w:t>
      </w:r>
      <w:proofErr w:type="spellStart"/>
      <w:r w:rsidR="00450404">
        <w:rPr>
          <w:rFonts w:ascii="Arial" w:hAnsi="Arial" w:cs="Arial"/>
          <w:w w:val="0"/>
          <w:lang w:val="es-AR"/>
        </w:rPr>
        <w:t>Ps</w:t>
      </w:r>
      <w:proofErr w:type="spellEnd"/>
      <w:r w:rsidR="00450404">
        <w:rPr>
          <w:rFonts w:ascii="Arial" w:hAnsi="Arial" w:cs="Arial"/>
          <w:w w:val="0"/>
          <w:lang w:val="es-AR"/>
        </w:rPr>
        <w:t xml:space="preserve"> 32,3</w:t>
      </w:r>
      <w:r w:rsidRPr="00300612" w:rsidDel="00F61C4D">
        <w:rPr>
          <w:rFonts w:ascii="Arial" w:hAnsi="Arial" w:cs="Arial"/>
          <w:w w:val="0"/>
          <w:lang w:val="es-AR"/>
        </w:rPr>
        <w:t xml:space="preserve"> MM en el </w:t>
      </w:r>
      <w:r w:rsidR="002F7D1A">
        <w:rPr>
          <w:rFonts w:ascii="Arial" w:hAnsi="Arial" w:cs="Arial"/>
          <w:w w:val="0"/>
          <w:lang w:val="es-AR"/>
        </w:rPr>
        <w:t>segundo</w:t>
      </w:r>
      <w:r w:rsidR="00241A3E" w:rsidRPr="00300612" w:rsidDel="00F61C4D">
        <w:rPr>
          <w:rFonts w:ascii="Arial" w:hAnsi="Arial" w:cs="Arial"/>
          <w:w w:val="0"/>
          <w:lang w:val="es-AR"/>
        </w:rPr>
        <w:t xml:space="preserve"> trimestre 2019</w:t>
      </w:r>
      <w:r w:rsidR="00450404">
        <w:rPr>
          <w:rFonts w:ascii="Arial" w:hAnsi="Arial" w:cs="Arial"/>
          <w:w w:val="0"/>
          <w:lang w:val="es-AR"/>
        </w:rPr>
        <w:t xml:space="preserve"> en comparación a los </w:t>
      </w:r>
      <w:proofErr w:type="spellStart"/>
      <w:r w:rsidR="00450404">
        <w:rPr>
          <w:rFonts w:ascii="Arial" w:hAnsi="Arial" w:cs="Arial"/>
          <w:w w:val="0"/>
          <w:lang w:val="es-AR"/>
        </w:rPr>
        <w:t>Ps</w:t>
      </w:r>
      <w:proofErr w:type="spellEnd"/>
      <w:r w:rsidR="00450404">
        <w:rPr>
          <w:rFonts w:ascii="Arial" w:hAnsi="Arial" w:cs="Arial"/>
          <w:w w:val="0"/>
          <w:lang w:val="es-AR"/>
        </w:rPr>
        <w:t xml:space="preserve"> 22,0</w:t>
      </w:r>
      <w:r w:rsidRPr="00300612" w:rsidDel="00F61C4D">
        <w:rPr>
          <w:rFonts w:ascii="Arial" w:hAnsi="Arial" w:cs="Arial"/>
          <w:w w:val="0"/>
          <w:lang w:val="es-AR"/>
        </w:rPr>
        <w:t xml:space="preserve"> MM del </w:t>
      </w:r>
      <w:r w:rsidR="002F7D1A">
        <w:rPr>
          <w:rFonts w:ascii="Arial" w:hAnsi="Arial" w:cs="Arial"/>
          <w:w w:val="0"/>
          <w:lang w:val="es-AR"/>
        </w:rPr>
        <w:t>segundo</w:t>
      </w:r>
      <w:r w:rsidR="00241A3E" w:rsidRPr="00300612" w:rsidDel="00F61C4D">
        <w:rPr>
          <w:rFonts w:ascii="Arial" w:hAnsi="Arial" w:cs="Arial"/>
          <w:w w:val="0"/>
          <w:lang w:val="es-AR"/>
        </w:rPr>
        <w:t xml:space="preserve"> trimestre 2018</w:t>
      </w:r>
      <w:r w:rsidRPr="00300612" w:rsidDel="00F61C4D">
        <w:rPr>
          <w:rFonts w:ascii="Arial" w:hAnsi="Arial" w:cs="Arial"/>
          <w:w w:val="0"/>
          <w:lang w:val="es-AR"/>
        </w:rPr>
        <w:t xml:space="preserve">, lo que </w:t>
      </w:r>
      <w:r w:rsidR="00B2654C" w:rsidRPr="00300612" w:rsidDel="00F61C4D">
        <w:rPr>
          <w:rFonts w:ascii="Arial" w:hAnsi="Arial" w:cs="Arial"/>
          <w:w w:val="0"/>
          <w:lang w:val="es-AR"/>
        </w:rPr>
        <w:t>re</w:t>
      </w:r>
      <w:r w:rsidR="00450404">
        <w:rPr>
          <w:rFonts w:ascii="Arial" w:hAnsi="Arial" w:cs="Arial"/>
          <w:w w:val="0"/>
          <w:lang w:val="es-AR"/>
        </w:rPr>
        <w:t xml:space="preserve">presenta un incremento de </w:t>
      </w:r>
      <w:proofErr w:type="spellStart"/>
      <w:r w:rsidR="00450404">
        <w:rPr>
          <w:rFonts w:ascii="Arial" w:hAnsi="Arial" w:cs="Arial"/>
          <w:w w:val="0"/>
          <w:lang w:val="es-AR"/>
        </w:rPr>
        <w:t>Ps</w:t>
      </w:r>
      <w:proofErr w:type="spellEnd"/>
      <w:r w:rsidR="00450404">
        <w:rPr>
          <w:rFonts w:ascii="Arial" w:hAnsi="Arial" w:cs="Arial"/>
          <w:w w:val="0"/>
          <w:lang w:val="es-AR"/>
        </w:rPr>
        <w:t xml:space="preserve"> 10,3 MM o 46,8</w:t>
      </w:r>
      <w:r w:rsidRPr="00300612" w:rsidDel="00F61C4D">
        <w:rPr>
          <w:rFonts w:ascii="Arial" w:hAnsi="Arial" w:cs="Arial"/>
          <w:w w:val="0"/>
          <w:lang w:val="es-AR"/>
        </w:rPr>
        <w:t>%;</w:t>
      </w:r>
    </w:p>
    <w:p w14:paraId="1BD690D2" w14:textId="7709DC2E" w:rsidR="00F61C4D" w:rsidRPr="005242A3" w:rsidRDefault="00237DE1" w:rsidP="0058416B">
      <w:pPr>
        <w:pStyle w:val="BodyText"/>
        <w:numPr>
          <w:ilvl w:val="0"/>
          <w:numId w:val="5"/>
        </w:numPr>
        <w:spacing w:before="120" w:line="288" w:lineRule="auto"/>
        <w:ind w:left="987" w:hanging="284"/>
        <w:jc w:val="both"/>
        <w:rPr>
          <w:rFonts w:ascii="Arial" w:hAnsi="Arial" w:cs="Arial"/>
          <w:w w:val="0"/>
          <w:lang w:val="es-AR"/>
        </w:rPr>
      </w:pPr>
      <w:r w:rsidRPr="00300612">
        <w:rPr>
          <w:rFonts w:ascii="Arial" w:hAnsi="Arial" w:cs="Arial"/>
          <w:w w:val="0"/>
          <w:lang w:val="es-AR"/>
        </w:rPr>
        <w:t>Los conceptos relacionados al costo de extracción (“</w:t>
      </w:r>
      <w:proofErr w:type="gramStart"/>
      <w:r w:rsidRPr="00300612">
        <w:rPr>
          <w:rFonts w:ascii="Arial" w:hAnsi="Arial" w:cs="Arial"/>
          <w:w w:val="0"/>
          <w:lang w:val="es-AR"/>
        </w:rPr>
        <w:t>lifting</w:t>
      </w:r>
      <w:proofErr w:type="gramEnd"/>
      <w:r w:rsidRPr="00300612">
        <w:rPr>
          <w:rFonts w:ascii="Arial" w:hAnsi="Arial" w:cs="Arial"/>
          <w:w w:val="0"/>
          <w:lang w:val="es-AR"/>
        </w:rPr>
        <w:t xml:space="preserve"> </w:t>
      </w:r>
      <w:proofErr w:type="spellStart"/>
      <w:r w:rsidRPr="00300612">
        <w:rPr>
          <w:rFonts w:ascii="Arial" w:hAnsi="Arial" w:cs="Arial"/>
          <w:w w:val="0"/>
          <w:lang w:val="es-AR"/>
        </w:rPr>
        <w:t>cost</w:t>
      </w:r>
      <w:proofErr w:type="spellEnd"/>
      <w:r w:rsidRPr="00300612">
        <w:rPr>
          <w:rFonts w:ascii="Arial" w:hAnsi="Arial" w:cs="Arial"/>
          <w:w w:val="0"/>
          <w:lang w:val="es-AR"/>
        </w:rPr>
        <w:t xml:space="preserve">”) </w:t>
      </w:r>
      <w:r w:rsidR="00107645" w:rsidRPr="00300612">
        <w:rPr>
          <w:rFonts w:ascii="Arial" w:hAnsi="Arial" w:cs="Arial"/>
          <w:w w:val="0"/>
          <w:lang w:val="es-AR"/>
        </w:rPr>
        <w:t xml:space="preserve">durante el </w:t>
      </w:r>
      <w:r w:rsidR="002F7D1A">
        <w:rPr>
          <w:rFonts w:ascii="Arial" w:hAnsi="Arial" w:cs="Arial"/>
          <w:w w:val="0"/>
          <w:lang w:val="es-AR"/>
        </w:rPr>
        <w:t>segundo</w:t>
      </w:r>
      <w:r w:rsidR="00107645" w:rsidRPr="00300612">
        <w:rPr>
          <w:rFonts w:ascii="Arial" w:hAnsi="Arial" w:cs="Arial"/>
          <w:w w:val="0"/>
          <w:lang w:val="es-AR"/>
        </w:rPr>
        <w:t xml:space="preserve"> trimestre</w:t>
      </w:r>
      <w:r w:rsidR="00241A3E" w:rsidRPr="00300612">
        <w:rPr>
          <w:rFonts w:ascii="Arial" w:hAnsi="Arial" w:cs="Arial"/>
          <w:w w:val="0"/>
          <w:lang w:val="es-AR"/>
        </w:rPr>
        <w:t xml:space="preserve"> 2019</w:t>
      </w:r>
      <w:r w:rsidR="00B2654C" w:rsidRPr="00300612">
        <w:rPr>
          <w:rFonts w:ascii="Arial" w:hAnsi="Arial" w:cs="Arial"/>
          <w:w w:val="0"/>
          <w:lang w:val="es-AR"/>
        </w:rPr>
        <w:t xml:space="preserve"> ascendieron a </w:t>
      </w:r>
      <w:proofErr w:type="spellStart"/>
      <w:r w:rsidR="00B2654C" w:rsidRPr="00300612">
        <w:rPr>
          <w:rFonts w:ascii="Arial" w:hAnsi="Arial" w:cs="Arial"/>
          <w:w w:val="0"/>
          <w:lang w:val="es-AR"/>
        </w:rPr>
        <w:t>Ps</w:t>
      </w:r>
      <w:proofErr w:type="spellEnd"/>
      <w:r w:rsidR="00B2654C" w:rsidRPr="00300612">
        <w:rPr>
          <w:rFonts w:ascii="Arial" w:hAnsi="Arial" w:cs="Arial"/>
          <w:w w:val="0"/>
          <w:lang w:val="es-AR"/>
        </w:rPr>
        <w:t xml:space="preserve"> </w:t>
      </w:r>
      <w:r w:rsidR="00450404">
        <w:rPr>
          <w:rFonts w:ascii="Arial" w:hAnsi="Arial" w:cs="Arial"/>
          <w:w w:val="0"/>
          <w:lang w:val="es-AR"/>
        </w:rPr>
        <w:t>25,1</w:t>
      </w:r>
      <w:r w:rsidRPr="00300612">
        <w:rPr>
          <w:rFonts w:ascii="Arial" w:hAnsi="Arial" w:cs="Arial"/>
          <w:w w:val="0"/>
          <w:lang w:val="es-AR"/>
        </w:rPr>
        <w:t xml:space="preserve"> M</w:t>
      </w:r>
      <w:r w:rsidR="00BE71AD" w:rsidRPr="00300612">
        <w:rPr>
          <w:rFonts w:ascii="Arial" w:hAnsi="Arial" w:cs="Arial"/>
          <w:w w:val="0"/>
          <w:lang w:val="es-AR"/>
        </w:rPr>
        <w:t>M</w:t>
      </w:r>
      <w:r w:rsidR="00B2654C" w:rsidRPr="00300612">
        <w:rPr>
          <w:rFonts w:ascii="Arial" w:hAnsi="Arial" w:cs="Arial"/>
          <w:w w:val="0"/>
          <w:lang w:val="es-AR"/>
        </w:rPr>
        <w:t xml:space="preserve"> siendo superiores a los </w:t>
      </w:r>
      <w:proofErr w:type="spellStart"/>
      <w:r w:rsidR="00B2654C" w:rsidRPr="00300612">
        <w:rPr>
          <w:rFonts w:ascii="Arial" w:hAnsi="Arial" w:cs="Arial"/>
          <w:w w:val="0"/>
          <w:lang w:val="es-AR"/>
        </w:rPr>
        <w:t>Ps</w:t>
      </w:r>
      <w:proofErr w:type="spellEnd"/>
      <w:r w:rsidR="00B2654C" w:rsidRPr="00300612">
        <w:rPr>
          <w:rFonts w:ascii="Arial" w:hAnsi="Arial" w:cs="Arial"/>
          <w:w w:val="0"/>
          <w:lang w:val="es-AR"/>
        </w:rPr>
        <w:t xml:space="preserve"> </w:t>
      </w:r>
      <w:r w:rsidR="003E1A38">
        <w:rPr>
          <w:rFonts w:ascii="Arial" w:hAnsi="Arial" w:cs="Arial"/>
          <w:w w:val="0"/>
          <w:lang w:val="es-AR"/>
        </w:rPr>
        <w:t>13,0</w:t>
      </w:r>
      <w:r w:rsidR="00BE71AD" w:rsidRPr="00300612">
        <w:rPr>
          <w:rFonts w:ascii="Arial" w:hAnsi="Arial" w:cs="Arial"/>
          <w:w w:val="0"/>
          <w:lang w:val="es-AR"/>
        </w:rPr>
        <w:t xml:space="preserve"> </w:t>
      </w:r>
      <w:r w:rsidRPr="00300612">
        <w:rPr>
          <w:rFonts w:ascii="Arial" w:hAnsi="Arial" w:cs="Arial"/>
          <w:w w:val="0"/>
          <w:lang w:val="es-AR"/>
        </w:rPr>
        <w:t>MM de</w:t>
      </w:r>
      <w:r w:rsidR="00107645" w:rsidRPr="00300612">
        <w:rPr>
          <w:rFonts w:ascii="Arial" w:hAnsi="Arial" w:cs="Arial"/>
          <w:w w:val="0"/>
          <w:lang w:val="es-AR"/>
        </w:rPr>
        <w:t xml:space="preserve">l </w:t>
      </w:r>
      <w:r w:rsidR="002F7D1A">
        <w:rPr>
          <w:rFonts w:ascii="Arial" w:hAnsi="Arial" w:cs="Arial"/>
          <w:w w:val="0"/>
          <w:lang w:val="es-AR"/>
        </w:rPr>
        <w:t>segundo</w:t>
      </w:r>
      <w:r w:rsidR="00241A3E" w:rsidRPr="00300612">
        <w:rPr>
          <w:rFonts w:ascii="Arial" w:hAnsi="Arial" w:cs="Arial"/>
          <w:w w:val="0"/>
          <w:lang w:val="es-AR"/>
        </w:rPr>
        <w:t xml:space="preserve"> trimestre 2018</w:t>
      </w:r>
      <w:r w:rsidR="00107645" w:rsidRPr="00300612">
        <w:rPr>
          <w:rFonts w:ascii="Arial" w:hAnsi="Arial" w:cs="Arial"/>
          <w:w w:val="0"/>
          <w:lang w:val="es-AR"/>
        </w:rPr>
        <w:t xml:space="preserve"> </w:t>
      </w:r>
      <w:r w:rsidRPr="00300612">
        <w:rPr>
          <w:rFonts w:ascii="Arial" w:hAnsi="Arial" w:cs="Arial"/>
          <w:w w:val="0"/>
          <w:lang w:val="es-AR"/>
        </w:rPr>
        <w:t xml:space="preserve">en </w:t>
      </w:r>
      <w:proofErr w:type="spellStart"/>
      <w:r w:rsidR="00B2654C" w:rsidRPr="00300612">
        <w:rPr>
          <w:rFonts w:ascii="Arial" w:hAnsi="Arial" w:cs="Arial"/>
          <w:w w:val="0"/>
          <w:lang w:val="es-AR"/>
        </w:rPr>
        <w:t>Ps</w:t>
      </w:r>
      <w:proofErr w:type="spellEnd"/>
      <w:r w:rsidR="00B2654C" w:rsidRPr="00300612">
        <w:rPr>
          <w:rFonts w:ascii="Arial" w:hAnsi="Arial" w:cs="Arial"/>
          <w:w w:val="0"/>
          <w:lang w:val="es-AR"/>
        </w:rPr>
        <w:t xml:space="preserve"> </w:t>
      </w:r>
      <w:r w:rsidR="003E1A38">
        <w:rPr>
          <w:rFonts w:ascii="Arial" w:hAnsi="Arial" w:cs="Arial"/>
          <w:w w:val="0"/>
          <w:lang w:val="es-AR"/>
        </w:rPr>
        <w:t>12,1</w:t>
      </w:r>
      <w:r w:rsidRPr="00300612">
        <w:rPr>
          <w:rFonts w:ascii="Arial" w:hAnsi="Arial" w:cs="Arial"/>
          <w:w w:val="0"/>
          <w:lang w:val="es-AR"/>
        </w:rPr>
        <w:t xml:space="preserve"> MM, o </w:t>
      </w:r>
      <w:r w:rsidR="003E1A38">
        <w:rPr>
          <w:rFonts w:ascii="Arial" w:hAnsi="Arial" w:cs="Arial"/>
          <w:w w:val="0"/>
          <w:lang w:val="es-AR"/>
        </w:rPr>
        <w:t>93,2</w:t>
      </w:r>
      <w:r w:rsidR="00BE71AD" w:rsidRPr="00300612">
        <w:rPr>
          <w:rFonts w:ascii="Arial" w:hAnsi="Arial" w:cs="Arial"/>
          <w:w w:val="0"/>
          <w:lang w:val="es-AR"/>
        </w:rPr>
        <w:t>%;</w:t>
      </w:r>
    </w:p>
    <w:p w14:paraId="3ED9409A" w14:textId="790DE774" w:rsidR="00237DE1" w:rsidRDefault="00237DE1" w:rsidP="00485C1E">
      <w:pPr>
        <w:pStyle w:val="BodyText"/>
        <w:numPr>
          <w:ilvl w:val="0"/>
          <w:numId w:val="5"/>
        </w:numPr>
        <w:spacing w:before="120" w:line="288" w:lineRule="auto"/>
        <w:ind w:left="987" w:hanging="284"/>
        <w:jc w:val="both"/>
        <w:rPr>
          <w:rFonts w:ascii="Arial" w:hAnsi="Arial" w:cs="Arial"/>
          <w:w w:val="0"/>
          <w:lang w:val="es-AR"/>
        </w:rPr>
      </w:pPr>
      <w:r w:rsidRPr="00300612">
        <w:rPr>
          <w:rFonts w:ascii="Arial" w:hAnsi="Arial" w:cs="Arial"/>
          <w:w w:val="0"/>
          <w:lang w:val="es-AR"/>
        </w:rPr>
        <w:t xml:space="preserve">Las regalías y otros cargos asociados a la producción </w:t>
      </w:r>
      <w:r w:rsidR="00107645" w:rsidRPr="00300612">
        <w:rPr>
          <w:rFonts w:ascii="Arial" w:hAnsi="Arial" w:cs="Arial"/>
          <w:w w:val="0"/>
          <w:lang w:val="es-AR"/>
        </w:rPr>
        <w:t xml:space="preserve">del </w:t>
      </w:r>
      <w:r w:rsidR="002F7D1A">
        <w:rPr>
          <w:rFonts w:ascii="Arial" w:hAnsi="Arial" w:cs="Arial"/>
          <w:w w:val="0"/>
          <w:lang w:val="es-AR"/>
        </w:rPr>
        <w:t>segundo</w:t>
      </w:r>
      <w:r w:rsidR="00241A3E" w:rsidRPr="00300612">
        <w:rPr>
          <w:rFonts w:ascii="Arial" w:hAnsi="Arial" w:cs="Arial"/>
          <w:w w:val="0"/>
          <w:lang w:val="es-AR"/>
        </w:rPr>
        <w:t xml:space="preserve"> trimestre 2019</w:t>
      </w:r>
      <w:r w:rsidR="00107645" w:rsidRPr="00300612">
        <w:rPr>
          <w:rFonts w:ascii="Arial" w:hAnsi="Arial" w:cs="Arial"/>
          <w:w w:val="0"/>
          <w:lang w:val="es-AR"/>
        </w:rPr>
        <w:t xml:space="preserve"> </w:t>
      </w:r>
      <w:r w:rsidR="00450404">
        <w:rPr>
          <w:rFonts w:ascii="Arial" w:hAnsi="Arial" w:cs="Arial"/>
          <w:w w:val="0"/>
          <w:lang w:val="es-AR"/>
        </w:rPr>
        <w:t xml:space="preserve">ascendieron a </w:t>
      </w:r>
      <w:proofErr w:type="spellStart"/>
      <w:r w:rsidR="00450404">
        <w:rPr>
          <w:rFonts w:ascii="Arial" w:hAnsi="Arial" w:cs="Arial"/>
          <w:w w:val="0"/>
          <w:lang w:val="es-AR"/>
        </w:rPr>
        <w:t>Ps</w:t>
      </w:r>
      <w:proofErr w:type="spellEnd"/>
      <w:r w:rsidR="00450404">
        <w:rPr>
          <w:rFonts w:ascii="Arial" w:hAnsi="Arial" w:cs="Arial"/>
          <w:w w:val="0"/>
          <w:lang w:val="es-AR"/>
        </w:rPr>
        <w:t xml:space="preserve"> 10,4 MM en comparación a los </w:t>
      </w:r>
      <w:proofErr w:type="spellStart"/>
      <w:r w:rsidR="00450404">
        <w:rPr>
          <w:rFonts w:ascii="Arial" w:hAnsi="Arial" w:cs="Arial"/>
          <w:w w:val="0"/>
          <w:lang w:val="es-AR"/>
        </w:rPr>
        <w:t>Ps</w:t>
      </w:r>
      <w:proofErr w:type="spellEnd"/>
      <w:r w:rsidR="00450404">
        <w:rPr>
          <w:rFonts w:ascii="Arial" w:hAnsi="Arial" w:cs="Arial"/>
          <w:w w:val="0"/>
          <w:lang w:val="es-AR"/>
        </w:rPr>
        <w:t xml:space="preserve"> 7,3</w:t>
      </w:r>
      <w:r w:rsidR="00BE71AD" w:rsidRPr="00300612">
        <w:rPr>
          <w:rFonts w:ascii="Arial" w:hAnsi="Arial" w:cs="Arial"/>
          <w:w w:val="0"/>
          <w:lang w:val="es-AR"/>
        </w:rPr>
        <w:t xml:space="preserve"> </w:t>
      </w:r>
      <w:r w:rsidRPr="00300612">
        <w:rPr>
          <w:rFonts w:ascii="Arial" w:hAnsi="Arial" w:cs="Arial"/>
          <w:w w:val="0"/>
          <w:lang w:val="es-AR"/>
        </w:rPr>
        <w:t xml:space="preserve">MM del </w:t>
      </w:r>
      <w:r w:rsidR="002F7D1A">
        <w:rPr>
          <w:rFonts w:ascii="Arial" w:hAnsi="Arial" w:cs="Arial"/>
          <w:w w:val="0"/>
          <w:lang w:val="es-AR"/>
        </w:rPr>
        <w:t>segundo</w:t>
      </w:r>
      <w:r w:rsidR="00107645" w:rsidRPr="00300612">
        <w:rPr>
          <w:rFonts w:ascii="Arial" w:hAnsi="Arial" w:cs="Arial"/>
          <w:w w:val="0"/>
          <w:lang w:val="es-AR"/>
        </w:rPr>
        <w:t xml:space="preserve"> trimestre</w:t>
      </w:r>
      <w:r w:rsidR="00241A3E" w:rsidRPr="00300612">
        <w:rPr>
          <w:rFonts w:ascii="Arial" w:hAnsi="Arial" w:cs="Arial"/>
          <w:w w:val="0"/>
          <w:lang w:val="es-AR"/>
        </w:rPr>
        <w:t xml:space="preserve"> 2018</w:t>
      </w:r>
      <w:r w:rsidRPr="00300612">
        <w:rPr>
          <w:rFonts w:ascii="Arial" w:hAnsi="Arial" w:cs="Arial"/>
          <w:w w:val="0"/>
          <w:lang w:val="es-AR"/>
        </w:rPr>
        <w:t xml:space="preserve">, lo que representa un incremento de </w:t>
      </w:r>
      <w:proofErr w:type="spellStart"/>
      <w:r w:rsidR="00450404">
        <w:rPr>
          <w:rFonts w:ascii="Arial" w:hAnsi="Arial" w:cs="Arial"/>
          <w:w w:val="0"/>
          <w:lang w:val="es-AR"/>
        </w:rPr>
        <w:t>Ps</w:t>
      </w:r>
      <w:proofErr w:type="spellEnd"/>
      <w:r w:rsidR="00450404">
        <w:rPr>
          <w:rFonts w:ascii="Arial" w:hAnsi="Arial" w:cs="Arial"/>
          <w:w w:val="0"/>
          <w:lang w:val="es-AR"/>
        </w:rPr>
        <w:t xml:space="preserve"> 3,1 MM, o 42,9</w:t>
      </w:r>
      <w:r w:rsidRPr="00300612">
        <w:rPr>
          <w:rFonts w:ascii="Arial" w:hAnsi="Arial" w:cs="Arial"/>
          <w:w w:val="0"/>
          <w:lang w:val="es-AR"/>
        </w:rPr>
        <w:t>%;</w:t>
      </w:r>
    </w:p>
    <w:p w14:paraId="6795BC01" w14:textId="4A7FE21D" w:rsidR="00825AE9" w:rsidRPr="00825AE9" w:rsidRDefault="00825AE9" w:rsidP="00825AE9">
      <w:pPr>
        <w:pStyle w:val="BodyText"/>
        <w:numPr>
          <w:ilvl w:val="0"/>
          <w:numId w:val="5"/>
        </w:numPr>
        <w:spacing w:before="120" w:line="288" w:lineRule="auto"/>
        <w:ind w:left="987" w:hanging="284"/>
        <w:jc w:val="both"/>
        <w:rPr>
          <w:rFonts w:ascii="Arial" w:hAnsi="Arial" w:cs="Arial"/>
          <w:w w:val="0"/>
          <w:lang w:val="es-AR"/>
        </w:rPr>
      </w:pPr>
      <w:r w:rsidRPr="00300612">
        <w:rPr>
          <w:rFonts w:ascii="Arial" w:hAnsi="Arial" w:cs="Arial"/>
          <w:w w:val="0"/>
          <w:lang w:val="es-AR"/>
        </w:rPr>
        <w:t xml:space="preserve">Los conceptos vinculados al costo de refinación en el </w:t>
      </w:r>
      <w:r w:rsidR="00284D2C">
        <w:rPr>
          <w:rFonts w:ascii="Arial" w:hAnsi="Arial" w:cs="Arial"/>
          <w:w w:val="0"/>
          <w:lang w:val="es-AR"/>
        </w:rPr>
        <w:t>segundo</w:t>
      </w:r>
      <w:r w:rsidRPr="00300612">
        <w:rPr>
          <w:rFonts w:ascii="Arial" w:hAnsi="Arial" w:cs="Arial"/>
          <w:w w:val="0"/>
          <w:lang w:val="es-AR"/>
        </w:rPr>
        <w:t xml:space="preserve"> trimestre 2019 ascendieron a </w:t>
      </w:r>
      <w:proofErr w:type="spellStart"/>
      <w:r w:rsidRPr="00300612">
        <w:rPr>
          <w:rFonts w:ascii="Arial" w:hAnsi="Arial" w:cs="Arial"/>
          <w:w w:val="0"/>
          <w:lang w:val="es-AR"/>
        </w:rPr>
        <w:t>Ps</w:t>
      </w:r>
      <w:proofErr w:type="spellEnd"/>
      <w:r w:rsidRPr="00300612">
        <w:rPr>
          <w:rFonts w:ascii="Arial" w:hAnsi="Arial" w:cs="Arial"/>
          <w:w w:val="0"/>
          <w:lang w:val="es-AR"/>
        </w:rPr>
        <w:t xml:space="preserve"> </w:t>
      </w:r>
      <w:r w:rsidR="00450404">
        <w:rPr>
          <w:rFonts w:ascii="Arial" w:hAnsi="Arial" w:cs="Arial"/>
          <w:w w:val="0"/>
          <w:lang w:val="es-AR"/>
        </w:rPr>
        <w:t>5,7</w:t>
      </w:r>
      <w:r w:rsidRPr="00300612">
        <w:rPr>
          <w:rFonts w:ascii="Arial" w:hAnsi="Arial" w:cs="Arial"/>
          <w:w w:val="0"/>
          <w:lang w:val="es-AR"/>
        </w:rPr>
        <w:t xml:space="preserve"> </w:t>
      </w:r>
      <w:r>
        <w:rPr>
          <w:rFonts w:ascii="Arial" w:hAnsi="Arial" w:cs="Arial"/>
          <w:w w:val="0"/>
          <w:lang w:val="es-AR"/>
        </w:rPr>
        <w:t xml:space="preserve">MM en comparación a los </w:t>
      </w:r>
      <w:proofErr w:type="spellStart"/>
      <w:r>
        <w:rPr>
          <w:rFonts w:ascii="Arial" w:hAnsi="Arial" w:cs="Arial"/>
          <w:w w:val="0"/>
          <w:lang w:val="es-AR"/>
        </w:rPr>
        <w:t>Ps</w:t>
      </w:r>
      <w:proofErr w:type="spellEnd"/>
      <w:r>
        <w:rPr>
          <w:rFonts w:ascii="Arial" w:hAnsi="Arial" w:cs="Arial"/>
          <w:w w:val="0"/>
          <w:lang w:val="es-AR"/>
        </w:rPr>
        <w:t xml:space="preserve"> </w:t>
      </w:r>
      <w:r w:rsidR="00450404">
        <w:rPr>
          <w:rFonts w:ascii="Arial" w:hAnsi="Arial" w:cs="Arial"/>
          <w:w w:val="0"/>
          <w:lang w:val="es-AR"/>
        </w:rPr>
        <w:t>2,9</w:t>
      </w:r>
      <w:r w:rsidRPr="00300612">
        <w:rPr>
          <w:rFonts w:ascii="Arial" w:hAnsi="Arial" w:cs="Arial"/>
          <w:w w:val="0"/>
          <w:lang w:val="es-AR"/>
        </w:rPr>
        <w:t xml:space="preserve"> MM del </w:t>
      </w:r>
      <w:r w:rsidR="00284D2C">
        <w:rPr>
          <w:rFonts w:ascii="Arial" w:hAnsi="Arial" w:cs="Arial"/>
          <w:w w:val="0"/>
          <w:lang w:val="es-AR"/>
        </w:rPr>
        <w:t>segundo</w:t>
      </w:r>
      <w:r w:rsidRPr="00300612">
        <w:rPr>
          <w:rFonts w:ascii="Arial" w:hAnsi="Arial" w:cs="Arial"/>
          <w:w w:val="0"/>
          <w:lang w:val="es-AR"/>
        </w:rPr>
        <w:t xml:space="preserve"> trimestre 2018, reportando un incremento de </w:t>
      </w:r>
      <w:proofErr w:type="spellStart"/>
      <w:r w:rsidRPr="00300612">
        <w:rPr>
          <w:rFonts w:ascii="Arial" w:hAnsi="Arial" w:cs="Arial"/>
          <w:w w:val="0"/>
          <w:lang w:val="es-AR"/>
        </w:rPr>
        <w:t>Ps</w:t>
      </w:r>
      <w:proofErr w:type="spellEnd"/>
      <w:r w:rsidRPr="00300612">
        <w:rPr>
          <w:rFonts w:ascii="Arial" w:hAnsi="Arial" w:cs="Arial"/>
          <w:w w:val="0"/>
          <w:lang w:val="es-AR"/>
        </w:rPr>
        <w:t xml:space="preserve"> </w:t>
      </w:r>
      <w:r w:rsidR="006A5DF9">
        <w:rPr>
          <w:rFonts w:ascii="Arial" w:hAnsi="Arial" w:cs="Arial"/>
          <w:w w:val="0"/>
          <w:lang w:val="es-AR"/>
        </w:rPr>
        <w:t>2,8</w:t>
      </w:r>
      <w:r w:rsidRPr="00300612">
        <w:rPr>
          <w:rFonts w:ascii="Arial" w:hAnsi="Arial" w:cs="Arial"/>
          <w:w w:val="0"/>
          <w:lang w:val="es-AR"/>
        </w:rPr>
        <w:t xml:space="preserve"> MM, o </w:t>
      </w:r>
      <w:r w:rsidR="00450404">
        <w:rPr>
          <w:rFonts w:ascii="Arial" w:hAnsi="Arial" w:cs="Arial"/>
          <w:w w:val="0"/>
          <w:lang w:val="es-AR"/>
        </w:rPr>
        <w:t>99,0</w:t>
      </w:r>
      <w:r w:rsidRPr="00300612">
        <w:rPr>
          <w:rFonts w:ascii="Arial" w:hAnsi="Arial" w:cs="Arial"/>
          <w:w w:val="0"/>
          <w:lang w:val="es-AR"/>
        </w:rPr>
        <w:t>%</w:t>
      </w:r>
      <w:r w:rsidR="0031139F">
        <w:rPr>
          <w:rFonts w:ascii="Arial" w:hAnsi="Arial" w:cs="Arial"/>
          <w:w w:val="0"/>
          <w:lang w:val="es-AR"/>
        </w:rPr>
        <w:t>;</w:t>
      </w:r>
    </w:p>
    <w:p w14:paraId="4C72FE78" w14:textId="0490B934" w:rsidR="00300612" w:rsidRPr="00300612" w:rsidRDefault="00300612" w:rsidP="00300612">
      <w:pPr>
        <w:pStyle w:val="BodyText"/>
        <w:numPr>
          <w:ilvl w:val="0"/>
          <w:numId w:val="5"/>
        </w:numPr>
        <w:spacing w:before="120" w:line="288" w:lineRule="auto"/>
        <w:ind w:left="987" w:hanging="284"/>
        <w:jc w:val="both"/>
        <w:rPr>
          <w:rFonts w:ascii="Arial" w:hAnsi="Arial" w:cs="Arial"/>
          <w:w w:val="0"/>
          <w:lang w:val="es-AR"/>
        </w:rPr>
      </w:pPr>
      <w:r w:rsidRPr="00300612">
        <w:rPr>
          <w:rFonts w:ascii="Arial" w:hAnsi="Arial" w:cs="Arial"/>
          <w:w w:val="0"/>
          <w:lang w:val="es-AR"/>
        </w:rPr>
        <w:t xml:space="preserve">Los costos de transporte del </w:t>
      </w:r>
      <w:r w:rsidR="00284D2C">
        <w:rPr>
          <w:rFonts w:ascii="Arial" w:hAnsi="Arial" w:cs="Arial"/>
          <w:w w:val="0"/>
          <w:lang w:val="es-AR"/>
        </w:rPr>
        <w:t>segundo</w:t>
      </w:r>
      <w:r w:rsidRPr="00300612">
        <w:rPr>
          <w:rFonts w:ascii="Arial" w:hAnsi="Arial" w:cs="Arial"/>
          <w:w w:val="0"/>
          <w:lang w:val="es-AR"/>
        </w:rPr>
        <w:t xml:space="preserve"> trimestre 2019</w:t>
      </w:r>
      <w:r w:rsidR="00450404">
        <w:rPr>
          <w:rFonts w:ascii="Arial" w:hAnsi="Arial" w:cs="Arial"/>
          <w:w w:val="0"/>
          <w:lang w:val="es-AR"/>
        </w:rPr>
        <w:t xml:space="preserve"> totalizaron </w:t>
      </w:r>
      <w:proofErr w:type="spellStart"/>
      <w:r w:rsidR="00450404">
        <w:rPr>
          <w:rFonts w:ascii="Arial" w:hAnsi="Arial" w:cs="Arial"/>
          <w:w w:val="0"/>
          <w:lang w:val="es-AR"/>
        </w:rPr>
        <w:t>Ps</w:t>
      </w:r>
      <w:proofErr w:type="spellEnd"/>
      <w:r w:rsidR="00450404">
        <w:rPr>
          <w:rFonts w:ascii="Arial" w:hAnsi="Arial" w:cs="Arial"/>
          <w:w w:val="0"/>
          <w:lang w:val="es-AR"/>
        </w:rPr>
        <w:t xml:space="preserve"> 5,0</w:t>
      </w:r>
      <w:r w:rsidR="00047A27">
        <w:rPr>
          <w:rFonts w:ascii="Arial" w:hAnsi="Arial" w:cs="Arial"/>
          <w:w w:val="0"/>
          <w:lang w:val="es-AR"/>
        </w:rPr>
        <w:t xml:space="preserve"> </w:t>
      </w:r>
      <w:r w:rsidRPr="00300612">
        <w:rPr>
          <w:rFonts w:ascii="Arial" w:hAnsi="Arial" w:cs="Arial"/>
          <w:w w:val="0"/>
          <w:lang w:val="es-AR"/>
        </w:rPr>
        <w:t>M</w:t>
      </w:r>
      <w:r w:rsidR="003A7041">
        <w:rPr>
          <w:rFonts w:ascii="Arial" w:hAnsi="Arial" w:cs="Arial"/>
          <w:w w:val="0"/>
          <w:lang w:val="es-AR"/>
        </w:rPr>
        <w:t xml:space="preserve">M siendo superiores a los </w:t>
      </w:r>
      <w:proofErr w:type="spellStart"/>
      <w:r w:rsidR="003A7041">
        <w:rPr>
          <w:rFonts w:ascii="Arial" w:hAnsi="Arial" w:cs="Arial"/>
          <w:w w:val="0"/>
          <w:lang w:val="es-AR"/>
        </w:rPr>
        <w:t>Ps</w:t>
      </w:r>
      <w:proofErr w:type="spellEnd"/>
      <w:r w:rsidR="003A7041">
        <w:rPr>
          <w:rFonts w:ascii="Arial" w:hAnsi="Arial" w:cs="Arial"/>
          <w:w w:val="0"/>
          <w:lang w:val="es-AR"/>
        </w:rPr>
        <w:t xml:space="preserve"> 2,6</w:t>
      </w:r>
      <w:r w:rsidRPr="00300612">
        <w:rPr>
          <w:rFonts w:ascii="Arial" w:hAnsi="Arial" w:cs="Arial"/>
          <w:w w:val="0"/>
          <w:lang w:val="es-AR"/>
        </w:rPr>
        <w:t xml:space="preserve"> MM del </w:t>
      </w:r>
      <w:r w:rsidR="00284D2C">
        <w:rPr>
          <w:rFonts w:ascii="Arial" w:hAnsi="Arial" w:cs="Arial"/>
          <w:w w:val="0"/>
          <w:lang w:val="es-AR"/>
        </w:rPr>
        <w:t xml:space="preserve">segundo </w:t>
      </w:r>
      <w:r w:rsidR="00450404">
        <w:rPr>
          <w:rFonts w:ascii="Arial" w:hAnsi="Arial" w:cs="Arial"/>
          <w:w w:val="0"/>
          <w:lang w:val="es-AR"/>
        </w:rPr>
        <w:t xml:space="preserve">trimestre 2018 en </w:t>
      </w:r>
      <w:proofErr w:type="spellStart"/>
      <w:r w:rsidR="00450404">
        <w:rPr>
          <w:rFonts w:ascii="Arial" w:hAnsi="Arial" w:cs="Arial"/>
          <w:w w:val="0"/>
          <w:lang w:val="es-AR"/>
        </w:rPr>
        <w:t>Ps</w:t>
      </w:r>
      <w:proofErr w:type="spellEnd"/>
      <w:r w:rsidR="00450404">
        <w:rPr>
          <w:rFonts w:ascii="Arial" w:hAnsi="Arial" w:cs="Arial"/>
          <w:w w:val="0"/>
          <w:lang w:val="es-AR"/>
        </w:rPr>
        <w:t xml:space="preserve"> 2,4</w:t>
      </w:r>
      <w:r w:rsidRPr="00300612">
        <w:rPr>
          <w:rFonts w:ascii="Arial" w:hAnsi="Arial" w:cs="Arial"/>
          <w:w w:val="0"/>
          <w:lang w:val="es-AR"/>
        </w:rPr>
        <w:t xml:space="preserve"> M</w:t>
      </w:r>
      <w:r w:rsidR="00450404">
        <w:rPr>
          <w:rFonts w:ascii="Arial" w:hAnsi="Arial" w:cs="Arial"/>
          <w:w w:val="0"/>
          <w:lang w:val="es-AR"/>
        </w:rPr>
        <w:t>M, o 89,5</w:t>
      </w:r>
      <w:r w:rsidRPr="00300612">
        <w:rPr>
          <w:rFonts w:ascii="Arial" w:hAnsi="Arial" w:cs="Arial"/>
          <w:w w:val="0"/>
          <w:lang w:val="es-AR"/>
        </w:rPr>
        <w:t>%</w:t>
      </w:r>
      <w:r w:rsidR="00825AE9">
        <w:rPr>
          <w:rFonts w:ascii="Arial" w:hAnsi="Arial" w:cs="Arial"/>
          <w:w w:val="0"/>
          <w:lang w:val="es-AR"/>
        </w:rPr>
        <w:t>.</w:t>
      </w:r>
    </w:p>
    <w:p w14:paraId="62E94D18" w14:textId="77777777" w:rsidR="00F14542" w:rsidRPr="00F14542" w:rsidRDefault="00F14542" w:rsidP="0058416B">
      <w:pPr>
        <w:pStyle w:val="BodyText"/>
        <w:spacing w:before="120" w:line="288" w:lineRule="auto"/>
        <w:ind w:left="703"/>
        <w:jc w:val="both"/>
        <w:rPr>
          <w:rFonts w:ascii="Arial" w:hAnsi="Arial" w:cs="Arial"/>
          <w:w w:val="0"/>
          <w:lang w:val="es-AR"/>
        </w:rPr>
      </w:pPr>
    </w:p>
    <w:p w14:paraId="6CF199C6" w14:textId="77777777" w:rsidR="00237DE1" w:rsidRPr="00245001" w:rsidRDefault="00237DE1" w:rsidP="00237DE1">
      <w:pPr>
        <w:tabs>
          <w:tab w:val="left" w:pos="567"/>
        </w:tabs>
        <w:spacing w:line="288" w:lineRule="auto"/>
        <w:ind w:left="567" w:hanging="283"/>
        <w:jc w:val="both"/>
        <w:rPr>
          <w:rFonts w:ascii="Arial" w:hAnsi="Arial" w:cs="Arial"/>
          <w:i/>
          <w:w w:val="0"/>
        </w:rPr>
      </w:pPr>
      <w:r>
        <w:rPr>
          <w:rFonts w:ascii="Arial" w:hAnsi="Arial" w:cs="Arial"/>
          <w:i/>
          <w:w w:val="0"/>
        </w:rPr>
        <w:t xml:space="preserve">b) </w:t>
      </w:r>
      <w:r w:rsidRPr="003C4ED7">
        <w:rPr>
          <w:rFonts w:ascii="Arial" w:hAnsi="Arial" w:cs="Arial"/>
          <w:i/>
          <w:w w:val="0"/>
          <w:lang w:val="es-AR"/>
        </w:rPr>
        <w:t>Compras</w:t>
      </w:r>
    </w:p>
    <w:p w14:paraId="5B7BE139" w14:textId="6B7F8C1F" w:rsidR="00237DE1" w:rsidRDefault="00237DE1" w:rsidP="00485C1E">
      <w:pPr>
        <w:pStyle w:val="BodyText"/>
        <w:numPr>
          <w:ilvl w:val="0"/>
          <w:numId w:val="5"/>
        </w:numPr>
        <w:spacing w:before="120" w:line="288" w:lineRule="auto"/>
        <w:ind w:left="987" w:hanging="284"/>
        <w:jc w:val="both"/>
        <w:rPr>
          <w:rFonts w:ascii="Arial" w:hAnsi="Arial" w:cs="Arial"/>
          <w:w w:val="0"/>
          <w:lang w:val="es-AR"/>
        </w:rPr>
      </w:pPr>
      <w:r w:rsidRPr="00F85C2D">
        <w:rPr>
          <w:rFonts w:ascii="Arial" w:hAnsi="Arial" w:cs="Arial"/>
          <w:w w:val="0"/>
          <w:lang w:val="es-AR"/>
        </w:rPr>
        <w:t xml:space="preserve">Las compras de petróleo crudo a terceros en </w:t>
      </w:r>
      <w:r w:rsidR="00FA65B2" w:rsidRPr="00F85C2D">
        <w:rPr>
          <w:rFonts w:ascii="Arial" w:hAnsi="Arial" w:cs="Arial"/>
          <w:w w:val="0"/>
          <w:lang w:val="es-AR"/>
        </w:rPr>
        <w:t xml:space="preserve">el </w:t>
      </w:r>
      <w:r w:rsidR="00284D2C">
        <w:rPr>
          <w:rFonts w:ascii="Arial" w:hAnsi="Arial" w:cs="Arial"/>
          <w:w w:val="0"/>
          <w:lang w:val="es-AR"/>
        </w:rPr>
        <w:t>segundo</w:t>
      </w:r>
      <w:r w:rsidR="00FA65B2" w:rsidRPr="00F85C2D">
        <w:rPr>
          <w:rFonts w:ascii="Arial" w:hAnsi="Arial" w:cs="Arial"/>
          <w:w w:val="0"/>
          <w:lang w:val="es-AR"/>
        </w:rPr>
        <w:t xml:space="preserve"> trimestre </w:t>
      </w:r>
      <w:r w:rsidR="00FA0241" w:rsidRPr="00F85C2D">
        <w:rPr>
          <w:rFonts w:ascii="Arial" w:hAnsi="Arial" w:cs="Arial"/>
          <w:w w:val="0"/>
          <w:lang w:val="es-AR"/>
        </w:rPr>
        <w:t>2019</w:t>
      </w:r>
      <w:r w:rsidR="00450404">
        <w:rPr>
          <w:rFonts w:ascii="Arial" w:hAnsi="Arial" w:cs="Arial"/>
          <w:w w:val="0"/>
          <w:lang w:val="es-AR"/>
        </w:rPr>
        <w:t xml:space="preserve"> totalizaron </w:t>
      </w:r>
      <w:proofErr w:type="spellStart"/>
      <w:r w:rsidR="00450404">
        <w:rPr>
          <w:rFonts w:ascii="Arial" w:hAnsi="Arial" w:cs="Arial"/>
          <w:w w:val="0"/>
          <w:lang w:val="es-AR"/>
        </w:rPr>
        <w:t>Ps</w:t>
      </w:r>
      <w:proofErr w:type="spellEnd"/>
      <w:r w:rsidR="00450404">
        <w:rPr>
          <w:rFonts w:ascii="Arial" w:hAnsi="Arial" w:cs="Arial"/>
          <w:w w:val="0"/>
          <w:lang w:val="es-AR"/>
        </w:rPr>
        <w:t xml:space="preserve"> 12</w:t>
      </w:r>
      <w:r w:rsidR="00AB00DF" w:rsidRPr="00F85C2D">
        <w:rPr>
          <w:rFonts w:ascii="Arial" w:hAnsi="Arial" w:cs="Arial"/>
          <w:w w:val="0"/>
          <w:lang w:val="es-AR"/>
        </w:rPr>
        <w:t>,6</w:t>
      </w:r>
      <w:r w:rsidRPr="00F85C2D">
        <w:rPr>
          <w:rFonts w:ascii="Arial" w:hAnsi="Arial" w:cs="Arial"/>
          <w:w w:val="0"/>
          <w:lang w:val="es-AR"/>
        </w:rPr>
        <w:t xml:space="preserve"> M</w:t>
      </w:r>
      <w:r w:rsidR="00F47D47" w:rsidRPr="00F85C2D">
        <w:rPr>
          <w:rFonts w:ascii="Arial" w:hAnsi="Arial" w:cs="Arial"/>
          <w:w w:val="0"/>
          <w:lang w:val="es-AR"/>
        </w:rPr>
        <w:t>M</w:t>
      </w:r>
      <w:r w:rsidR="00450404">
        <w:rPr>
          <w:rFonts w:ascii="Arial" w:hAnsi="Arial" w:cs="Arial"/>
          <w:w w:val="0"/>
          <w:lang w:val="es-AR"/>
        </w:rPr>
        <w:t xml:space="preserve"> siendo superiores a los </w:t>
      </w:r>
      <w:proofErr w:type="spellStart"/>
      <w:r w:rsidR="00450404">
        <w:rPr>
          <w:rFonts w:ascii="Arial" w:hAnsi="Arial" w:cs="Arial"/>
          <w:w w:val="0"/>
          <w:lang w:val="es-AR"/>
        </w:rPr>
        <w:t>Ps</w:t>
      </w:r>
      <w:proofErr w:type="spellEnd"/>
      <w:r w:rsidR="00450404">
        <w:rPr>
          <w:rFonts w:ascii="Arial" w:hAnsi="Arial" w:cs="Arial"/>
          <w:w w:val="0"/>
          <w:lang w:val="es-AR"/>
        </w:rPr>
        <w:t xml:space="preserve"> 6,5</w:t>
      </w:r>
      <w:r w:rsidR="00AB00DF" w:rsidRPr="00F85C2D">
        <w:rPr>
          <w:rFonts w:ascii="Arial" w:hAnsi="Arial" w:cs="Arial"/>
          <w:w w:val="0"/>
          <w:lang w:val="es-AR"/>
        </w:rPr>
        <w:t xml:space="preserve"> </w:t>
      </w:r>
      <w:r w:rsidRPr="00F85C2D">
        <w:rPr>
          <w:rFonts w:ascii="Arial" w:hAnsi="Arial" w:cs="Arial"/>
          <w:w w:val="0"/>
          <w:lang w:val="es-AR"/>
        </w:rPr>
        <w:t>MM de</w:t>
      </w:r>
      <w:r w:rsidR="00FA65B2" w:rsidRPr="00F85C2D">
        <w:rPr>
          <w:rFonts w:ascii="Arial" w:hAnsi="Arial" w:cs="Arial"/>
          <w:w w:val="0"/>
          <w:lang w:val="es-AR"/>
        </w:rPr>
        <w:t xml:space="preserve">l </w:t>
      </w:r>
      <w:r w:rsidR="00284D2C">
        <w:rPr>
          <w:rFonts w:ascii="Arial" w:hAnsi="Arial" w:cs="Arial"/>
          <w:w w:val="0"/>
          <w:lang w:val="es-AR"/>
        </w:rPr>
        <w:t>segundo</w:t>
      </w:r>
      <w:r w:rsidR="00FA65B2" w:rsidRPr="00F85C2D">
        <w:rPr>
          <w:rFonts w:ascii="Arial" w:hAnsi="Arial" w:cs="Arial"/>
          <w:w w:val="0"/>
          <w:lang w:val="es-AR"/>
        </w:rPr>
        <w:t xml:space="preserve"> trimestre</w:t>
      </w:r>
      <w:r w:rsidR="00FA0241" w:rsidRPr="00F85C2D">
        <w:rPr>
          <w:rFonts w:ascii="Arial" w:hAnsi="Arial" w:cs="Arial"/>
          <w:w w:val="0"/>
          <w:lang w:val="es-AR"/>
        </w:rPr>
        <w:t xml:space="preserve"> 2018</w:t>
      </w:r>
      <w:r w:rsidR="00FA65B2" w:rsidRPr="00F85C2D">
        <w:rPr>
          <w:rFonts w:ascii="Arial" w:hAnsi="Arial" w:cs="Arial"/>
          <w:w w:val="0"/>
          <w:lang w:val="es-AR"/>
        </w:rPr>
        <w:t xml:space="preserve"> </w:t>
      </w:r>
      <w:r w:rsidRPr="00F85C2D">
        <w:rPr>
          <w:rFonts w:ascii="Arial" w:hAnsi="Arial" w:cs="Arial"/>
          <w:w w:val="0"/>
          <w:lang w:val="es-AR"/>
        </w:rPr>
        <w:t>en</w:t>
      </w:r>
      <w:r w:rsidR="00450404">
        <w:rPr>
          <w:rFonts w:ascii="Arial" w:hAnsi="Arial" w:cs="Arial"/>
          <w:w w:val="0"/>
          <w:lang w:val="es-AR"/>
        </w:rPr>
        <w:t xml:space="preserve"> aproximadamente </w:t>
      </w:r>
      <w:proofErr w:type="spellStart"/>
      <w:r w:rsidR="00450404">
        <w:rPr>
          <w:rFonts w:ascii="Arial" w:hAnsi="Arial" w:cs="Arial"/>
          <w:w w:val="0"/>
          <w:lang w:val="es-AR"/>
        </w:rPr>
        <w:t>Ps</w:t>
      </w:r>
      <w:proofErr w:type="spellEnd"/>
      <w:r w:rsidR="00450404">
        <w:rPr>
          <w:rFonts w:ascii="Arial" w:hAnsi="Arial" w:cs="Arial"/>
          <w:w w:val="0"/>
          <w:lang w:val="es-AR"/>
        </w:rPr>
        <w:t xml:space="preserve"> 6,1 MM, o 94,5</w:t>
      </w:r>
      <w:r w:rsidRPr="00F85C2D">
        <w:rPr>
          <w:rFonts w:ascii="Arial" w:hAnsi="Arial" w:cs="Arial"/>
          <w:w w:val="0"/>
          <w:lang w:val="es-AR"/>
        </w:rPr>
        <w:t>%;</w:t>
      </w:r>
    </w:p>
    <w:p w14:paraId="172F6AB0" w14:textId="5421BF73" w:rsidR="00AF15E3" w:rsidRPr="00AF15E3" w:rsidRDefault="00AF15E3" w:rsidP="00AF15E3">
      <w:pPr>
        <w:pStyle w:val="BodyText"/>
        <w:numPr>
          <w:ilvl w:val="0"/>
          <w:numId w:val="5"/>
        </w:numPr>
        <w:spacing w:before="120" w:line="288" w:lineRule="auto"/>
        <w:ind w:left="987" w:hanging="284"/>
        <w:jc w:val="both"/>
        <w:rPr>
          <w:rFonts w:ascii="Arial" w:hAnsi="Arial" w:cs="Arial"/>
          <w:w w:val="0"/>
          <w:lang w:val="es-AR"/>
        </w:rPr>
      </w:pPr>
      <w:r w:rsidRPr="00F85C2D">
        <w:rPr>
          <w:rFonts w:ascii="Arial" w:hAnsi="Arial" w:cs="Arial"/>
          <w:w w:val="0"/>
          <w:lang w:val="es-AR"/>
        </w:rPr>
        <w:t xml:space="preserve">Las importaciones de combustibles en el </w:t>
      </w:r>
      <w:r>
        <w:rPr>
          <w:rFonts w:ascii="Arial" w:hAnsi="Arial" w:cs="Arial"/>
          <w:w w:val="0"/>
          <w:lang w:val="es-AR"/>
        </w:rPr>
        <w:t xml:space="preserve">segundo </w:t>
      </w:r>
      <w:r w:rsidRPr="00F85C2D">
        <w:rPr>
          <w:rFonts w:ascii="Arial" w:hAnsi="Arial" w:cs="Arial"/>
          <w:w w:val="0"/>
          <w:lang w:val="es-AR"/>
        </w:rPr>
        <w:t>trime</w:t>
      </w:r>
      <w:r>
        <w:rPr>
          <w:rFonts w:ascii="Arial" w:hAnsi="Arial" w:cs="Arial"/>
          <w:w w:val="0"/>
          <w:lang w:val="es-AR"/>
        </w:rPr>
        <w:t xml:space="preserve">stre 2019 ascendieron a </w:t>
      </w:r>
      <w:proofErr w:type="spellStart"/>
      <w:r>
        <w:rPr>
          <w:rFonts w:ascii="Arial" w:hAnsi="Arial" w:cs="Arial"/>
          <w:w w:val="0"/>
          <w:lang w:val="es-AR"/>
        </w:rPr>
        <w:t>Ps</w:t>
      </w:r>
      <w:proofErr w:type="spellEnd"/>
      <w:r>
        <w:rPr>
          <w:rFonts w:ascii="Arial" w:hAnsi="Arial" w:cs="Arial"/>
          <w:w w:val="0"/>
          <w:lang w:val="es-AR"/>
        </w:rPr>
        <w:t xml:space="preserve"> 10,4 MM siendo superiores a los </w:t>
      </w:r>
      <w:proofErr w:type="spellStart"/>
      <w:r>
        <w:rPr>
          <w:rFonts w:ascii="Arial" w:hAnsi="Arial" w:cs="Arial"/>
          <w:w w:val="0"/>
          <w:lang w:val="es-AR"/>
        </w:rPr>
        <w:t>Ps</w:t>
      </w:r>
      <w:proofErr w:type="spellEnd"/>
      <w:r>
        <w:rPr>
          <w:rFonts w:ascii="Arial" w:hAnsi="Arial" w:cs="Arial"/>
          <w:w w:val="0"/>
          <w:lang w:val="es-AR"/>
        </w:rPr>
        <w:t xml:space="preserve"> 3</w:t>
      </w:r>
      <w:r w:rsidR="00717CBE">
        <w:rPr>
          <w:rFonts w:ascii="Arial" w:hAnsi="Arial" w:cs="Arial"/>
          <w:w w:val="0"/>
          <w:lang w:val="es-AR"/>
        </w:rPr>
        <w:t>,8</w:t>
      </w:r>
      <w:r w:rsidRPr="00F85C2D">
        <w:rPr>
          <w:rFonts w:ascii="Arial" w:hAnsi="Arial" w:cs="Arial"/>
          <w:w w:val="0"/>
          <w:lang w:val="es-AR"/>
        </w:rPr>
        <w:t xml:space="preserve"> MM del </w:t>
      </w:r>
      <w:r>
        <w:rPr>
          <w:rFonts w:ascii="Arial" w:hAnsi="Arial" w:cs="Arial"/>
          <w:w w:val="0"/>
          <w:lang w:val="es-AR"/>
        </w:rPr>
        <w:t xml:space="preserve">segundo </w:t>
      </w:r>
      <w:r w:rsidRPr="00F85C2D">
        <w:rPr>
          <w:rFonts w:ascii="Arial" w:hAnsi="Arial" w:cs="Arial"/>
          <w:w w:val="0"/>
          <w:lang w:val="es-AR"/>
        </w:rPr>
        <w:t>trimestr</w:t>
      </w:r>
      <w:r>
        <w:rPr>
          <w:rFonts w:ascii="Arial" w:hAnsi="Arial" w:cs="Arial"/>
          <w:w w:val="0"/>
          <w:lang w:val="es-AR"/>
        </w:rPr>
        <w:t xml:space="preserve">e 2018 en aproximadamente </w:t>
      </w:r>
      <w:proofErr w:type="spellStart"/>
      <w:r>
        <w:rPr>
          <w:rFonts w:ascii="Arial" w:hAnsi="Arial" w:cs="Arial"/>
          <w:w w:val="0"/>
          <w:lang w:val="es-AR"/>
        </w:rPr>
        <w:t>Ps</w:t>
      </w:r>
      <w:proofErr w:type="spellEnd"/>
      <w:r>
        <w:rPr>
          <w:rFonts w:ascii="Arial" w:hAnsi="Arial" w:cs="Arial"/>
          <w:w w:val="0"/>
          <w:lang w:val="es-AR"/>
        </w:rPr>
        <w:t xml:space="preserve"> 6,6 MM, o 176,9</w:t>
      </w:r>
      <w:r w:rsidRPr="00F85C2D">
        <w:rPr>
          <w:rFonts w:ascii="Arial" w:hAnsi="Arial" w:cs="Arial"/>
          <w:w w:val="0"/>
          <w:lang w:val="es-AR"/>
        </w:rPr>
        <w:t>%;</w:t>
      </w:r>
    </w:p>
    <w:p w14:paraId="44182413" w14:textId="126BB910" w:rsidR="0024147F" w:rsidRDefault="0024147F" w:rsidP="0058416B">
      <w:pPr>
        <w:pStyle w:val="BodyText"/>
        <w:numPr>
          <w:ilvl w:val="0"/>
          <w:numId w:val="5"/>
        </w:numPr>
        <w:spacing w:before="120" w:line="288" w:lineRule="auto"/>
        <w:ind w:left="987" w:hanging="284"/>
        <w:jc w:val="both"/>
        <w:rPr>
          <w:rFonts w:ascii="Arial" w:hAnsi="Arial" w:cs="Arial"/>
          <w:w w:val="0"/>
          <w:lang w:val="es-AR"/>
        </w:rPr>
      </w:pPr>
      <w:r w:rsidRPr="00F85C2D">
        <w:rPr>
          <w:rFonts w:ascii="Arial" w:hAnsi="Arial" w:cs="Arial"/>
          <w:w w:val="0"/>
          <w:lang w:val="es-AR"/>
        </w:rPr>
        <w:t xml:space="preserve">Las compras de biocombustibles (FAME y bioetanol) del </w:t>
      </w:r>
      <w:r w:rsidR="00284D2C">
        <w:rPr>
          <w:rFonts w:ascii="Arial" w:hAnsi="Arial" w:cs="Arial"/>
          <w:w w:val="0"/>
          <w:lang w:val="es-AR"/>
        </w:rPr>
        <w:t>segundo</w:t>
      </w:r>
      <w:r w:rsidRPr="00F85C2D">
        <w:rPr>
          <w:rFonts w:ascii="Arial" w:hAnsi="Arial" w:cs="Arial"/>
          <w:w w:val="0"/>
          <w:lang w:val="es-AR"/>
        </w:rPr>
        <w:t xml:space="preserve"> trim</w:t>
      </w:r>
      <w:r w:rsidR="00450404">
        <w:rPr>
          <w:rFonts w:ascii="Arial" w:hAnsi="Arial" w:cs="Arial"/>
          <w:w w:val="0"/>
          <w:lang w:val="es-AR"/>
        </w:rPr>
        <w:t xml:space="preserve">estre 2019 alcanzaron los </w:t>
      </w:r>
      <w:proofErr w:type="spellStart"/>
      <w:r w:rsidR="00450404">
        <w:rPr>
          <w:rFonts w:ascii="Arial" w:hAnsi="Arial" w:cs="Arial"/>
          <w:w w:val="0"/>
          <w:lang w:val="es-AR"/>
        </w:rPr>
        <w:t>Ps</w:t>
      </w:r>
      <w:proofErr w:type="spellEnd"/>
      <w:r w:rsidR="00450404">
        <w:rPr>
          <w:rFonts w:ascii="Arial" w:hAnsi="Arial" w:cs="Arial"/>
          <w:w w:val="0"/>
          <w:lang w:val="es-AR"/>
        </w:rPr>
        <w:t xml:space="preserve"> 7,6</w:t>
      </w:r>
      <w:r w:rsidRPr="00F85C2D">
        <w:rPr>
          <w:rFonts w:ascii="Arial" w:hAnsi="Arial" w:cs="Arial"/>
          <w:w w:val="0"/>
          <w:lang w:val="es-AR"/>
        </w:rPr>
        <w:t xml:space="preserve"> MM re</w:t>
      </w:r>
      <w:r w:rsidR="00450404">
        <w:rPr>
          <w:rFonts w:ascii="Arial" w:hAnsi="Arial" w:cs="Arial"/>
          <w:w w:val="0"/>
          <w:lang w:val="es-AR"/>
        </w:rPr>
        <w:t xml:space="preserve">portando un incremento de </w:t>
      </w:r>
      <w:proofErr w:type="spellStart"/>
      <w:r w:rsidR="00450404">
        <w:rPr>
          <w:rFonts w:ascii="Arial" w:hAnsi="Arial" w:cs="Arial"/>
          <w:w w:val="0"/>
          <w:lang w:val="es-AR"/>
        </w:rPr>
        <w:t>Ps</w:t>
      </w:r>
      <w:proofErr w:type="spellEnd"/>
      <w:r w:rsidR="00450404">
        <w:rPr>
          <w:rFonts w:ascii="Arial" w:hAnsi="Arial" w:cs="Arial"/>
          <w:w w:val="0"/>
          <w:lang w:val="es-AR"/>
        </w:rPr>
        <w:t xml:space="preserve"> 2,3 MM, o 43,2%, respecto a los </w:t>
      </w:r>
      <w:proofErr w:type="spellStart"/>
      <w:r w:rsidR="00450404">
        <w:rPr>
          <w:rFonts w:ascii="Arial" w:hAnsi="Arial" w:cs="Arial"/>
          <w:w w:val="0"/>
          <w:lang w:val="es-AR"/>
        </w:rPr>
        <w:t>Ps</w:t>
      </w:r>
      <w:proofErr w:type="spellEnd"/>
      <w:r w:rsidR="00450404">
        <w:rPr>
          <w:rFonts w:ascii="Arial" w:hAnsi="Arial" w:cs="Arial"/>
          <w:w w:val="0"/>
          <w:lang w:val="es-AR"/>
        </w:rPr>
        <w:t xml:space="preserve"> 5,3</w:t>
      </w:r>
      <w:r w:rsidR="008D6426">
        <w:rPr>
          <w:rFonts w:ascii="Arial" w:hAnsi="Arial" w:cs="Arial"/>
          <w:w w:val="0"/>
          <w:lang w:val="es-AR"/>
        </w:rPr>
        <w:t xml:space="preserve"> MM</w:t>
      </w:r>
      <w:r w:rsidRPr="00F85C2D">
        <w:rPr>
          <w:rFonts w:ascii="Arial" w:hAnsi="Arial" w:cs="Arial"/>
          <w:w w:val="0"/>
          <w:lang w:val="es-AR"/>
        </w:rPr>
        <w:t xml:space="preserve"> del </w:t>
      </w:r>
      <w:r w:rsidR="00284D2C">
        <w:rPr>
          <w:rFonts w:ascii="Arial" w:hAnsi="Arial" w:cs="Arial"/>
          <w:w w:val="0"/>
          <w:lang w:val="es-AR"/>
        </w:rPr>
        <w:t>segundo</w:t>
      </w:r>
      <w:r w:rsidRPr="00F85C2D">
        <w:rPr>
          <w:rFonts w:ascii="Arial" w:hAnsi="Arial" w:cs="Arial"/>
          <w:w w:val="0"/>
          <w:lang w:val="es-AR"/>
        </w:rPr>
        <w:t xml:space="preserve"> trimestre 2018;</w:t>
      </w:r>
    </w:p>
    <w:p w14:paraId="49A75FD2" w14:textId="17C57ADA" w:rsidR="00F6423B" w:rsidRPr="00F6423B" w:rsidRDefault="00F6423B" w:rsidP="00F6423B">
      <w:pPr>
        <w:pStyle w:val="BodyText"/>
        <w:numPr>
          <w:ilvl w:val="0"/>
          <w:numId w:val="5"/>
        </w:numPr>
        <w:spacing w:before="120" w:line="288" w:lineRule="auto"/>
        <w:ind w:left="987" w:hanging="284"/>
        <w:jc w:val="both"/>
        <w:rPr>
          <w:rFonts w:ascii="Arial" w:hAnsi="Arial" w:cs="Arial"/>
          <w:w w:val="0"/>
          <w:lang w:val="es-AR"/>
        </w:rPr>
      </w:pPr>
      <w:r w:rsidRPr="00F85C2D">
        <w:rPr>
          <w:rFonts w:ascii="Arial" w:hAnsi="Arial" w:cs="Arial"/>
          <w:w w:val="0"/>
          <w:lang w:val="es-AR"/>
        </w:rPr>
        <w:t>La recepción de granos a través de la modalidad de canje en el segmento de ventas al agro, las cuales se registran contablemente co</w:t>
      </w:r>
      <w:r>
        <w:rPr>
          <w:rFonts w:ascii="Arial" w:hAnsi="Arial" w:cs="Arial"/>
          <w:w w:val="0"/>
          <w:lang w:val="es-AR"/>
        </w:rPr>
        <w:t xml:space="preserve">mo compras alcanzaron los </w:t>
      </w:r>
      <w:proofErr w:type="spellStart"/>
      <w:r>
        <w:rPr>
          <w:rFonts w:ascii="Arial" w:hAnsi="Arial" w:cs="Arial"/>
          <w:w w:val="0"/>
          <w:lang w:val="es-AR"/>
        </w:rPr>
        <w:t>Ps</w:t>
      </w:r>
      <w:proofErr w:type="spellEnd"/>
      <w:r>
        <w:rPr>
          <w:rFonts w:ascii="Arial" w:hAnsi="Arial" w:cs="Arial"/>
          <w:w w:val="0"/>
          <w:lang w:val="es-AR"/>
        </w:rPr>
        <w:t xml:space="preserve"> 5,8</w:t>
      </w:r>
      <w:r w:rsidRPr="00F85C2D">
        <w:rPr>
          <w:rFonts w:ascii="Arial" w:hAnsi="Arial" w:cs="Arial"/>
          <w:w w:val="0"/>
          <w:lang w:val="es-AR"/>
        </w:rPr>
        <w:t xml:space="preserve"> MM en el </w:t>
      </w:r>
      <w:r>
        <w:rPr>
          <w:rFonts w:ascii="Arial" w:hAnsi="Arial" w:cs="Arial"/>
          <w:w w:val="0"/>
          <w:lang w:val="es-AR"/>
        </w:rPr>
        <w:t xml:space="preserve">segundo </w:t>
      </w:r>
      <w:r w:rsidRPr="00F85C2D">
        <w:rPr>
          <w:rFonts w:ascii="Arial" w:hAnsi="Arial" w:cs="Arial"/>
          <w:w w:val="0"/>
          <w:lang w:val="es-AR"/>
        </w:rPr>
        <w:t>trimestre 2019</w:t>
      </w:r>
      <w:r>
        <w:rPr>
          <w:rFonts w:ascii="Arial" w:hAnsi="Arial" w:cs="Arial"/>
          <w:w w:val="0"/>
          <w:lang w:val="es-AR"/>
        </w:rPr>
        <w:t xml:space="preserve">, siendo superiores a los </w:t>
      </w:r>
      <w:proofErr w:type="spellStart"/>
      <w:r>
        <w:rPr>
          <w:rFonts w:ascii="Arial" w:hAnsi="Arial" w:cs="Arial"/>
          <w:w w:val="0"/>
          <w:lang w:val="es-AR"/>
        </w:rPr>
        <w:t>Ps</w:t>
      </w:r>
      <w:proofErr w:type="spellEnd"/>
      <w:r>
        <w:rPr>
          <w:rFonts w:ascii="Arial" w:hAnsi="Arial" w:cs="Arial"/>
          <w:w w:val="0"/>
          <w:lang w:val="es-AR"/>
        </w:rPr>
        <w:t xml:space="preserve"> 2,8</w:t>
      </w:r>
      <w:r w:rsidRPr="00F85C2D">
        <w:rPr>
          <w:rFonts w:ascii="Arial" w:hAnsi="Arial" w:cs="Arial"/>
          <w:w w:val="0"/>
          <w:lang w:val="es-AR"/>
        </w:rPr>
        <w:t xml:space="preserve"> MM del </w:t>
      </w:r>
      <w:r>
        <w:rPr>
          <w:rFonts w:ascii="Arial" w:hAnsi="Arial" w:cs="Arial"/>
          <w:w w:val="0"/>
          <w:lang w:val="es-AR"/>
        </w:rPr>
        <w:t>segundo</w:t>
      </w:r>
      <w:r w:rsidRPr="00F85C2D">
        <w:rPr>
          <w:rFonts w:ascii="Arial" w:hAnsi="Arial" w:cs="Arial"/>
          <w:w w:val="0"/>
          <w:lang w:val="es-AR"/>
        </w:rPr>
        <w:t xml:space="preserve"> trimestre 2018</w:t>
      </w:r>
      <w:r>
        <w:rPr>
          <w:rFonts w:ascii="Arial" w:hAnsi="Arial" w:cs="Arial"/>
          <w:w w:val="0"/>
          <w:lang w:val="es-AR"/>
        </w:rPr>
        <w:t xml:space="preserve"> en </w:t>
      </w:r>
      <w:proofErr w:type="spellStart"/>
      <w:r>
        <w:rPr>
          <w:rFonts w:ascii="Arial" w:hAnsi="Arial" w:cs="Arial"/>
          <w:w w:val="0"/>
          <w:lang w:val="es-AR"/>
        </w:rPr>
        <w:t>Ps</w:t>
      </w:r>
      <w:proofErr w:type="spellEnd"/>
      <w:r>
        <w:rPr>
          <w:rFonts w:ascii="Arial" w:hAnsi="Arial" w:cs="Arial"/>
          <w:w w:val="0"/>
          <w:lang w:val="es-AR"/>
        </w:rPr>
        <w:t xml:space="preserve"> 3,0 MM, o 107,4</w:t>
      </w:r>
      <w:r w:rsidRPr="00F85C2D">
        <w:rPr>
          <w:rFonts w:ascii="Arial" w:hAnsi="Arial" w:cs="Arial"/>
          <w:w w:val="0"/>
          <w:lang w:val="es-AR"/>
        </w:rPr>
        <w:t>%;</w:t>
      </w:r>
    </w:p>
    <w:p w14:paraId="3A7C1C87" w14:textId="13299A0E" w:rsidR="00237DE1" w:rsidRPr="00F85C2D" w:rsidRDefault="00237DE1" w:rsidP="00485C1E">
      <w:pPr>
        <w:pStyle w:val="BodyText"/>
        <w:numPr>
          <w:ilvl w:val="0"/>
          <w:numId w:val="5"/>
        </w:numPr>
        <w:spacing w:before="120" w:line="288" w:lineRule="auto"/>
        <w:ind w:left="987" w:hanging="284"/>
        <w:jc w:val="both"/>
        <w:rPr>
          <w:rFonts w:ascii="Arial" w:hAnsi="Arial" w:cs="Arial"/>
          <w:w w:val="0"/>
          <w:lang w:val="es-AR"/>
        </w:rPr>
      </w:pPr>
      <w:r w:rsidRPr="00F85C2D">
        <w:rPr>
          <w:rFonts w:ascii="Arial" w:hAnsi="Arial" w:cs="Arial"/>
          <w:w w:val="0"/>
          <w:lang w:val="es-AR"/>
        </w:rPr>
        <w:t>Las compras de gas natural a otros productores para su reventa en el segmento de distribución a clientes minoristas (residenciales y pequeños comercios e industrias) durante</w:t>
      </w:r>
      <w:r w:rsidR="00FA65B2" w:rsidRPr="00F85C2D">
        <w:rPr>
          <w:rFonts w:ascii="Arial" w:hAnsi="Arial" w:cs="Arial"/>
          <w:w w:val="0"/>
          <w:lang w:val="es-AR"/>
        </w:rPr>
        <w:t xml:space="preserve"> el </w:t>
      </w:r>
      <w:r w:rsidR="00284D2C">
        <w:rPr>
          <w:rFonts w:ascii="Arial" w:hAnsi="Arial" w:cs="Arial"/>
          <w:w w:val="0"/>
          <w:lang w:val="es-AR"/>
        </w:rPr>
        <w:t xml:space="preserve">segundo </w:t>
      </w:r>
      <w:r w:rsidR="00FA65B2" w:rsidRPr="00F85C2D">
        <w:rPr>
          <w:rFonts w:ascii="Arial" w:hAnsi="Arial" w:cs="Arial"/>
          <w:w w:val="0"/>
          <w:lang w:val="es-AR"/>
        </w:rPr>
        <w:t>trimestre</w:t>
      </w:r>
      <w:r w:rsidR="00FA0241" w:rsidRPr="00F85C2D">
        <w:rPr>
          <w:rFonts w:ascii="Arial" w:hAnsi="Arial" w:cs="Arial"/>
          <w:w w:val="0"/>
          <w:lang w:val="es-AR"/>
        </w:rPr>
        <w:t xml:space="preserve"> 2019</w:t>
      </w:r>
      <w:r w:rsidRPr="00F85C2D">
        <w:rPr>
          <w:rFonts w:ascii="Arial" w:hAnsi="Arial" w:cs="Arial"/>
          <w:w w:val="0"/>
          <w:lang w:val="es-AR"/>
        </w:rPr>
        <w:t xml:space="preserve"> </w:t>
      </w:r>
      <w:r w:rsidR="00AF15E3">
        <w:rPr>
          <w:rFonts w:ascii="Arial" w:hAnsi="Arial" w:cs="Arial"/>
          <w:w w:val="0"/>
          <w:lang w:val="es-AR"/>
        </w:rPr>
        <w:t xml:space="preserve">alcanzaron los </w:t>
      </w:r>
      <w:proofErr w:type="spellStart"/>
      <w:r w:rsidR="00AF15E3">
        <w:rPr>
          <w:rFonts w:ascii="Arial" w:hAnsi="Arial" w:cs="Arial"/>
          <w:w w:val="0"/>
          <w:lang w:val="es-AR"/>
        </w:rPr>
        <w:t>Ps</w:t>
      </w:r>
      <w:proofErr w:type="spellEnd"/>
      <w:r w:rsidR="00AF15E3">
        <w:rPr>
          <w:rFonts w:ascii="Arial" w:hAnsi="Arial" w:cs="Arial"/>
          <w:w w:val="0"/>
          <w:lang w:val="es-AR"/>
        </w:rPr>
        <w:t xml:space="preserve"> 5</w:t>
      </w:r>
      <w:r w:rsidR="00443A11" w:rsidRPr="00F85C2D">
        <w:rPr>
          <w:rFonts w:ascii="Arial" w:hAnsi="Arial" w:cs="Arial"/>
          <w:w w:val="0"/>
          <w:lang w:val="es-AR"/>
        </w:rPr>
        <w:t>,</w:t>
      </w:r>
      <w:r w:rsidR="00665BA3">
        <w:rPr>
          <w:rFonts w:ascii="Arial" w:hAnsi="Arial" w:cs="Arial"/>
          <w:w w:val="0"/>
          <w:lang w:val="es-AR"/>
        </w:rPr>
        <w:t>3</w:t>
      </w:r>
      <w:r w:rsidRPr="00F85C2D">
        <w:rPr>
          <w:rFonts w:ascii="Arial" w:hAnsi="Arial" w:cs="Arial"/>
          <w:w w:val="0"/>
          <w:lang w:val="es-AR"/>
        </w:rPr>
        <w:t xml:space="preserve"> M</w:t>
      </w:r>
      <w:r w:rsidR="00443A11" w:rsidRPr="00F85C2D">
        <w:rPr>
          <w:rFonts w:ascii="Arial" w:hAnsi="Arial" w:cs="Arial"/>
          <w:w w:val="0"/>
          <w:lang w:val="es-AR"/>
        </w:rPr>
        <w:t>M</w:t>
      </w:r>
      <w:r w:rsidR="00AF15E3">
        <w:rPr>
          <w:rFonts w:ascii="Arial" w:hAnsi="Arial" w:cs="Arial"/>
          <w:w w:val="0"/>
          <w:lang w:val="es-AR"/>
        </w:rPr>
        <w:t xml:space="preserve">, siendo superiores a los </w:t>
      </w:r>
      <w:proofErr w:type="spellStart"/>
      <w:r w:rsidR="00AF15E3">
        <w:rPr>
          <w:rFonts w:ascii="Arial" w:hAnsi="Arial" w:cs="Arial"/>
          <w:w w:val="0"/>
          <w:lang w:val="es-AR"/>
        </w:rPr>
        <w:t>Ps</w:t>
      </w:r>
      <w:proofErr w:type="spellEnd"/>
      <w:r w:rsidR="00AF15E3">
        <w:rPr>
          <w:rFonts w:ascii="Arial" w:hAnsi="Arial" w:cs="Arial"/>
          <w:w w:val="0"/>
          <w:lang w:val="es-AR"/>
        </w:rPr>
        <w:t xml:space="preserve"> 4,0</w:t>
      </w:r>
      <w:r w:rsidR="00825AE9">
        <w:rPr>
          <w:rFonts w:ascii="Arial" w:hAnsi="Arial" w:cs="Arial"/>
          <w:w w:val="0"/>
          <w:lang w:val="es-AR"/>
        </w:rPr>
        <w:t xml:space="preserve"> MM</w:t>
      </w:r>
      <w:r w:rsidR="00443A11" w:rsidRPr="00F85C2D">
        <w:rPr>
          <w:rFonts w:ascii="Arial" w:hAnsi="Arial" w:cs="Arial"/>
          <w:w w:val="0"/>
          <w:lang w:val="es-AR"/>
        </w:rPr>
        <w:t xml:space="preserve"> </w:t>
      </w:r>
      <w:r w:rsidRPr="00F85C2D">
        <w:rPr>
          <w:rFonts w:ascii="Arial" w:hAnsi="Arial" w:cs="Arial"/>
          <w:w w:val="0"/>
          <w:lang w:val="es-AR"/>
        </w:rPr>
        <w:t>de</w:t>
      </w:r>
      <w:r w:rsidR="00FA65B2" w:rsidRPr="00F85C2D">
        <w:rPr>
          <w:rFonts w:ascii="Arial" w:hAnsi="Arial" w:cs="Arial"/>
          <w:w w:val="0"/>
          <w:lang w:val="es-AR"/>
        </w:rPr>
        <w:t xml:space="preserve">l </w:t>
      </w:r>
      <w:r w:rsidR="00284D2C">
        <w:rPr>
          <w:rFonts w:ascii="Arial" w:hAnsi="Arial" w:cs="Arial"/>
          <w:w w:val="0"/>
          <w:lang w:val="es-AR"/>
        </w:rPr>
        <w:t xml:space="preserve">segundo </w:t>
      </w:r>
      <w:r w:rsidR="00FA65B2" w:rsidRPr="00F85C2D">
        <w:rPr>
          <w:rFonts w:ascii="Arial" w:hAnsi="Arial" w:cs="Arial"/>
          <w:w w:val="0"/>
          <w:lang w:val="es-AR"/>
        </w:rPr>
        <w:t>trimestre</w:t>
      </w:r>
      <w:r w:rsidR="00FA0241" w:rsidRPr="00F85C2D">
        <w:rPr>
          <w:rFonts w:ascii="Arial" w:hAnsi="Arial" w:cs="Arial"/>
          <w:w w:val="0"/>
          <w:lang w:val="es-AR"/>
        </w:rPr>
        <w:t xml:space="preserve"> 2018</w:t>
      </w:r>
      <w:r w:rsidRPr="00F85C2D">
        <w:rPr>
          <w:rFonts w:ascii="Arial" w:hAnsi="Arial" w:cs="Arial"/>
          <w:w w:val="0"/>
          <w:lang w:val="es-AR"/>
        </w:rPr>
        <w:t xml:space="preserve"> en </w:t>
      </w:r>
      <w:proofErr w:type="spellStart"/>
      <w:r w:rsidR="00443A11" w:rsidRPr="00F85C2D">
        <w:rPr>
          <w:rFonts w:ascii="Arial" w:hAnsi="Arial" w:cs="Arial"/>
          <w:w w:val="0"/>
          <w:lang w:val="es-AR"/>
        </w:rPr>
        <w:t>Ps</w:t>
      </w:r>
      <w:proofErr w:type="spellEnd"/>
      <w:r w:rsidR="00443A11" w:rsidRPr="00F85C2D">
        <w:rPr>
          <w:rFonts w:ascii="Arial" w:hAnsi="Arial" w:cs="Arial"/>
          <w:w w:val="0"/>
          <w:lang w:val="es-AR"/>
        </w:rPr>
        <w:t xml:space="preserve"> </w:t>
      </w:r>
      <w:r w:rsidR="00AF15E3">
        <w:rPr>
          <w:rFonts w:ascii="Arial" w:hAnsi="Arial" w:cs="Arial"/>
          <w:w w:val="0"/>
          <w:lang w:val="es-AR"/>
        </w:rPr>
        <w:t>1,3</w:t>
      </w:r>
      <w:r w:rsidR="0031749D" w:rsidRPr="00F85C2D">
        <w:rPr>
          <w:rFonts w:ascii="Arial" w:hAnsi="Arial" w:cs="Arial"/>
          <w:w w:val="0"/>
          <w:lang w:val="es-AR"/>
        </w:rPr>
        <w:t xml:space="preserve"> </w:t>
      </w:r>
      <w:r w:rsidRPr="00F85C2D">
        <w:rPr>
          <w:rFonts w:ascii="Arial" w:hAnsi="Arial" w:cs="Arial"/>
          <w:w w:val="0"/>
          <w:lang w:val="es-AR"/>
        </w:rPr>
        <w:t>MM</w:t>
      </w:r>
      <w:r w:rsidR="00AF15E3">
        <w:rPr>
          <w:rFonts w:ascii="Arial" w:hAnsi="Arial" w:cs="Arial"/>
          <w:w w:val="0"/>
          <w:lang w:val="es-AR"/>
        </w:rPr>
        <w:t>, o 31,1</w:t>
      </w:r>
      <w:r w:rsidRPr="00F85C2D">
        <w:rPr>
          <w:rFonts w:ascii="Arial" w:hAnsi="Arial" w:cs="Arial"/>
          <w:w w:val="0"/>
          <w:lang w:val="es-AR"/>
        </w:rPr>
        <w:t>%;</w:t>
      </w:r>
    </w:p>
    <w:p w14:paraId="5315A7A9" w14:textId="46720177" w:rsidR="00CE1094" w:rsidRDefault="00825AE9" w:rsidP="004451C8">
      <w:pPr>
        <w:pStyle w:val="BodyText"/>
        <w:numPr>
          <w:ilvl w:val="0"/>
          <w:numId w:val="5"/>
        </w:numPr>
        <w:spacing w:before="120" w:line="288" w:lineRule="auto"/>
        <w:ind w:left="987" w:hanging="284"/>
        <w:jc w:val="both"/>
        <w:rPr>
          <w:rFonts w:ascii="Arial" w:hAnsi="Arial" w:cs="Arial"/>
          <w:w w:val="0"/>
          <w:lang w:val="es-AR"/>
        </w:rPr>
      </w:pPr>
      <w:r w:rsidRPr="00870F9E">
        <w:rPr>
          <w:rFonts w:ascii="Arial" w:hAnsi="Arial" w:cs="Arial"/>
          <w:w w:val="0"/>
          <w:lang w:val="es-AR"/>
        </w:rPr>
        <w:t xml:space="preserve">En el </w:t>
      </w:r>
      <w:r w:rsidR="00284D2C">
        <w:rPr>
          <w:rFonts w:ascii="Arial" w:hAnsi="Arial" w:cs="Arial"/>
          <w:w w:val="0"/>
          <w:lang w:val="es-AR"/>
        </w:rPr>
        <w:t>segundo</w:t>
      </w:r>
      <w:r w:rsidRPr="00870F9E">
        <w:rPr>
          <w:rFonts w:ascii="Arial" w:hAnsi="Arial" w:cs="Arial"/>
          <w:w w:val="0"/>
          <w:lang w:val="es-AR"/>
        </w:rPr>
        <w:t xml:space="preserve"> trimestre de 2019 se registró una variación </w:t>
      </w:r>
      <w:r w:rsidR="00AF15E3">
        <w:rPr>
          <w:rFonts w:ascii="Arial" w:hAnsi="Arial" w:cs="Arial"/>
          <w:w w:val="0"/>
          <w:lang w:val="es-AR"/>
        </w:rPr>
        <w:t xml:space="preserve">de existencia positiva por </w:t>
      </w:r>
      <w:proofErr w:type="spellStart"/>
      <w:r w:rsidR="00AF15E3">
        <w:rPr>
          <w:rFonts w:ascii="Arial" w:hAnsi="Arial" w:cs="Arial"/>
          <w:w w:val="0"/>
          <w:lang w:val="es-AR"/>
        </w:rPr>
        <w:t>Ps</w:t>
      </w:r>
      <w:proofErr w:type="spellEnd"/>
      <w:r w:rsidR="00AF15E3">
        <w:rPr>
          <w:rFonts w:ascii="Arial" w:hAnsi="Arial" w:cs="Arial"/>
          <w:w w:val="0"/>
          <w:lang w:val="es-AR"/>
        </w:rPr>
        <w:t xml:space="preserve"> 5,4</w:t>
      </w:r>
      <w:r w:rsidRPr="00870F9E">
        <w:rPr>
          <w:rFonts w:ascii="Arial" w:hAnsi="Arial" w:cs="Arial"/>
          <w:w w:val="0"/>
          <w:lang w:val="es-AR"/>
        </w:rPr>
        <w:t xml:space="preserve"> MM, en comparación con la variación de existencia negativa registrada en </w:t>
      </w:r>
      <w:r w:rsidR="00C84321">
        <w:rPr>
          <w:rFonts w:ascii="Arial" w:hAnsi="Arial" w:cs="Arial"/>
          <w:w w:val="0"/>
          <w:lang w:val="es-AR"/>
        </w:rPr>
        <w:t xml:space="preserve">el </w:t>
      </w:r>
      <w:r w:rsidR="00284D2C">
        <w:rPr>
          <w:rFonts w:ascii="Arial" w:hAnsi="Arial" w:cs="Arial"/>
          <w:w w:val="0"/>
          <w:lang w:val="es-AR"/>
        </w:rPr>
        <w:t xml:space="preserve">segundo </w:t>
      </w:r>
      <w:r w:rsidR="00C84321">
        <w:rPr>
          <w:rFonts w:ascii="Arial" w:hAnsi="Arial" w:cs="Arial"/>
          <w:w w:val="0"/>
          <w:lang w:val="es-AR"/>
        </w:rPr>
        <w:t xml:space="preserve">trimestre de </w:t>
      </w:r>
      <w:r w:rsidRPr="00870F9E">
        <w:rPr>
          <w:rFonts w:ascii="Arial" w:hAnsi="Arial" w:cs="Arial"/>
          <w:w w:val="0"/>
          <w:lang w:val="es-AR"/>
        </w:rPr>
        <w:t xml:space="preserve">2018 de </w:t>
      </w:r>
      <w:proofErr w:type="spellStart"/>
      <w:r w:rsidRPr="00870F9E">
        <w:rPr>
          <w:rFonts w:ascii="Arial" w:hAnsi="Arial" w:cs="Arial"/>
          <w:w w:val="0"/>
          <w:lang w:val="es-AR"/>
        </w:rPr>
        <w:t>Ps</w:t>
      </w:r>
      <w:proofErr w:type="spellEnd"/>
      <w:r w:rsidRPr="00870F9E">
        <w:rPr>
          <w:rFonts w:ascii="Arial" w:hAnsi="Arial" w:cs="Arial"/>
          <w:w w:val="0"/>
          <w:lang w:val="es-AR"/>
        </w:rPr>
        <w:t xml:space="preserve"> </w:t>
      </w:r>
      <w:r w:rsidR="00AF15E3">
        <w:rPr>
          <w:rFonts w:ascii="Arial" w:hAnsi="Arial" w:cs="Arial"/>
          <w:w w:val="0"/>
          <w:lang w:val="es-AR"/>
        </w:rPr>
        <w:t>0,9 MM</w:t>
      </w:r>
      <w:r w:rsidRPr="00870F9E">
        <w:rPr>
          <w:rFonts w:ascii="Arial" w:hAnsi="Arial" w:cs="Arial"/>
          <w:w w:val="0"/>
          <w:lang w:val="es-AR"/>
        </w:rPr>
        <w:t>,</w:t>
      </w:r>
      <w:r w:rsidR="008512FD" w:rsidRPr="008512FD">
        <w:rPr>
          <w:rFonts w:ascii="Arial" w:hAnsi="Arial" w:cs="Arial"/>
          <w:w w:val="0"/>
          <w:lang w:val="es-AR"/>
        </w:rPr>
        <w:t xml:space="preserve"> principalmente como consecuencia del incremento en el costo de los </w:t>
      </w:r>
      <w:r w:rsidR="008512FD">
        <w:rPr>
          <w:rFonts w:ascii="Arial" w:hAnsi="Arial" w:cs="Arial"/>
          <w:w w:val="0"/>
          <w:lang w:val="es-AR"/>
        </w:rPr>
        <w:lastRenderedPageBreak/>
        <w:t>inventarios de la Compañía</w:t>
      </w:r>
      <w:r w:rsidR="008512FD" w:rsidRPr="008512FD">
        <w:rPr>
          <w:rFonts w:ascii="Arial" w:hAnsi="Arial" w:cs="Arial"/>
          <w:w w:val="0"/>
          <w:lang w:val="es-AR"/>
        </w:rPr>
        <w:t>, afectados fundamentalmente por los mayores costos de extracción (</w:t>
      </w:r>
      <w:proofErr w:type="gramStart"/>
      <w:r w:rsidR="008512FD" w:rsidRPr="008512FD">
        <w:rPr>
          <w:rFonts w:ascii="Arial" w:hAnsi="Arial" w:cs="Arial"/>
          <w:w w:val="0"/>
          <w:lang w:val="es-AR"/>
        </w:rPr>
        <w:t>lifting</w:t>
      </w:r>
      <w:proofErr w:type="gramEnd"/>
      <w:r w:rsidR="008512FD" w:rsidRPr="008512FD">
        <w:rPr>
          <w:rFonts w:ascii="Arial" w:hAnsi="Arial" w:cs="Arial"/>
          <w:w w:val="0"/>
          <w:lang w:val="es-AR"/>
        </w:rPr>
        <w:t xml:space="preserve"> </w:t>
      </w:r>
      <w:proofErr w:type="spellStart"/>
      <w:r w:rsidR="008512FD" w:rsidRPr="008512FD">
        <w:rPr>
          <w:rFonts w:ascii="Arial" w:hAnsi="Arial" w:cs="Arial"/>
          <w:w w:val="0"/>
          <w:lang w:val="es-AR"/>
        </w:rPr>
        <w:t>cost</w:t>
      </w:r>
      <w:proofErr w:type="spellEnd"/>
      <w:r w:rsidR="008512FD" w:rsidRPr="008512FD">
        <w:rPr>
          <w:rFonts w:ascii="Arial" w:hAnsi="Arial" w:cs="Arial"/>
          <w:w w:val="0"/>
          <w:lang w:val="es-AR"/>
        </w:rPr>
        <w:t>) mencionados anteriormente</w:t>
      </w:r>
      <w:r w:rsidR="00717CBE" w:rsidRPr="008512FD">
        <w:rPr>
          <w:rFonts w:ascii="Arial" w:hAnsi="Arial" w:cs="Arial"/>
          <w:w w:val="0"/>
          <w:lang w:val="es-AR"/>
        </w:rPr>
        <w:t>.</w:t>
      </w:r>
    </w:p>
    <w:p w14:paraId="1EAF0B9F" w14:textId="77777777" w:rsidR="004451C8" w:rsidRPr="004451C8" w:rsidRDefault="004451C8" w:rsidP="004451C8">
      <w:pPr>
        <w:pStyle w:val="BodyText"/>
        <w:spacing w:before="120" w:line="288" w:lineRule="auto"/>
        <w:ind w:left="987"/>
        <w:jc w:val="both"/>
        <w:rPr>
          <w:rFonts w:ascii="Arial" w:hAnsi="Arial" w:cs="Arial"/>
          <w:w w:val="0"/>
          <w:lang w:val="es-AR"/>
        </w:rPr>
      </w:pPr>
    </w:p>
    <w:p w14:paraId="1F7AC2CB" w14:textId="77777777" w:rsidR="008512FD" w:rsidRPr="008512FD" w:rsidRDefault="008911A0" w:rsidP="008512FD">
      <w:pPr>
        <w:spacing w:line="288" w:lineRule="auto"/>
        <w:jc w:val="both"/>
        <w:rPr>
          <w:rFonts w:ascii="Arial" w:hAnsi="Arial" w:cs="Arial"/>
          <w:w w:val="0"/>
          <w:lang w:val="es-AR"/>
        </w:rPr>
      </w:pPr>
      <w:bookmarkStart w:id="67" w:name="_Hlk2161337"/>
      <w:bookmarkStart w:id="68" w:name="_Hlk2161226"/>
      <w:r w:rsidRPr="008512FD">
        <w:rPr>
          <w:rFonts w:ascii="Arial" w:hAnsi="Arial" w:cs="Arial"/>
          <w:w w:val="0"/>
          <w:lang w:val="es-AR"/>
        </w:rPr>
        <w:t xml:space="preserve">Los gastos de comercialización en el </w:t>
      </w:r>
      <w:r w:rsidR="00284D2C" w:rsidRPr="008512FD">
        <w:rPr>
          <w:rFonts w:ascii="Arial" w:hAnsi="Arial" w:cs="Arial"/>
          <w:w w:val="0"/>
          <w:lang w:val="es-AR"/>
        </w:rPr>
        <w:t xml:space="preserve">segundo </w:t>
      </w:r>
      <w:r w:rsidR="00FA0241" w:rsidRPr="008512FD">
        <w:rPr>
          <w:rFonts w:ascii="Arial" w:hAnsi="Arial" w:cs="Arial"/>
          <w:w w:val="0"/>
          <w:lang w:val="es-AR"/>
        </w:rPr>
        <w:t>trimestre de 2019</w:t>
      </w:r>
      <w:r w:rsidR="00AF15E3" w:rsidRPr="008512FD">
        <w:rPr>
          <w:rFonts w:ascii="Arial" w:hAnsi="Arial" w:cs="Arial"/>
          <w:w w:val="0"/>
          <w:lang w:val="es-AR"/>
        </w:rPr>
        <w:t xml:space="preserve"> ascendieron a </w:t>
      </w:r>
      <w:proofErr w:type="spellStart"/>
      <w:r w:rsidR="00AF15E3" w:rsidRPr="008512FD">
        <w:rPr>
          <w:rFonts w:ascii="Arial" w:hAnsi="Arial" w:cs="Arial"/>
          <w:w w:val="0"/>
          <w:lang w:val="es-AR"/>
        </w:rPr>
        <w:t>Ps</w:t>
      </w:r>
      <w:proofErr w:type="spellEnd"/>
      <w:r w:rsidR="00AF15E3" w:rsidRPr="008512FD">
        <w:rPr>
          <w:rFonts w:ascii="Arial" w:hAnsi="Arial" w:cs="Arial"/>
          <w:w w:val="0"/>
          <w:lang w:val="es-AR"/>
        </w:rPr>
        <w:t xml:space="preserve"> 11,2</w:t>
      </w:r>
      <w:r w:rsidRPr="008512FD">
        <w:rPr>
          <w:rFonts w:ascii="Arial" w:hAnsi="Arial" w:cs="Arial"/>
          <w:w w:val="0"/>
          <w:lang w:val="es-AR"/>
        </w:rPr>
        <w:t xml:space="preserve"> MM, pr</w:t>
      </w:r>
      <w:r w:rsidR="00AF15E3" w:rsidRPr="008512FD">
        <w:rPr>
          <w:rFonts w:ascii="Arial" w:hAnsi="Arial" w:cs="Arial"/>
          <w:w w:val="0"/>
          <w:lang w:val="es-AR"/>
        </w:rPr>
        <w:t xml:space="preserve">esentando un incremento del 90,4% en comparación a los </w:t>
      </w:r>
      <w:proofErr w:type="spellStart"/>
      <w:r w:rsidR="00AF15E3" w:rsidRPr="008512FD">
        <w:rPr>
          <w:rFonts w:ascii="Arial" w:hAnsi="Arial" w:cs="Arial"/>
          <w:w w:val="0"/>
          <w:lang w:val="es-AR"/>
        </w:rPr>
        <w:t>Ps</w:t>
      </w:r>
      <w:proofErr w:type="spellEnd"/>
      <w:r w:rsidR="00AF15E3" w:rsidRPr="008512FD">
        <w:rPr>
          <w:rFonts w:ascii="Arial" w:hAnsi="Arial" w:cs="Arial"/>
          <w:w w:val="0"/>
          <w:lang w:val="es-AR"/>
        </w:rPr>
        <w:t xml:space="preserve"> 5,9</w:t>
      </w:r>
      <w:r w:rsidRPr="008512FD">
        <w:rPr>
          <w:rFonts w:ascii="Arial" w:hAnsi="Arial" w:cs="Arial"/>
          <w:w w:val="0"/>
          <w:lang w:val="es-AR"/>
        </w:rPr>
        <w:t xml:space="preserve"> MM del </w:t>
      </w:r>
      <w:r w:rsidR="00284D2C" w:rsidRPr="008512FD">
        <w:rPr>
          <w:rFonts w:ascii="Arial" w:hAnsi="Arial" w:cs="Arial"/>
          <w:w w:val="0"/>
          <w:lang w:val="es-AR"/>
        </w:rPr>
        <w:t>segundo</w:t>
      </w:r>
      <w:r w:rsidR="00FA0241" w:rsidRPr="008512FD">
        <w:rPr>
          <w:rFonts w:ascii="Arial" w:hAnsi="Arial" w:cs="Arial"/>
          <w:w w:val="0"/>
          <w:lang w:val="es-AR"/>
        </w:rPr>
        <w:t xml:space="preserve"> trimestre 2018</w:t>
      </w:r>
      <w:r w:rsidRPr="008512FD">
        <w:rPr>
          <w:rFonts w:ascii="Arial" w:hAnsi="Arial" w:cs="Arial"/>
          <w:w w:val="0"/>
          <w:lang w:val="es-AR"/>
        </w:rPr>
        <w:t xml:space="preserve">. Se registraron </w:t>
      </w:r>
      <w:r w:rsidR="008512FD" w:rsidRPr="008512FD">
        <w:rPr>
          <w:rFonts w:ascii="Arial" w:hAnsi="Arial" w:cs="Arial"/>
          <w:w w:val="0"/>
          <w:lang w:val="es-AR"/>
        </w:rPr>
        <w:t xml:space="preserve">mayores cargos por transporte de productos, </w:t>
      </w:r>
      <w:r w:rsidR="008512FD" w:rsidRPr="008512FD">
        <w:rPr>
          <w:rFonts w:ascii="Arial" w:hAnsi="Arial"/>
          <w:w w:val="0"/>
          <w:lang w:val="es-AR"/>
        </w:rPr>
        <w:t>vinculados principalmente al incremento en las tarifas de transporte de combustibles en el mercado interno</w:t>
      </w:r>
      <w:r w:rsidR="008512FD" w:rsidRPr="008512FD">
        <w:rPr>
          <w:rFonts w:ascii="Arial" w:hAnsi="Arial" w:cs="Arial"/>
          <w:w w:val="0"/>
          <w:lang w:val="es-AR"/>
        </w:rPr>
        <w:t>, mayores cargos de impuestos, tasas y contribuciones fundamentalmente por el incremento de las retenciones a las exportaciones y del impuesto a las operaciones financieras, mayores cargos por depreciación de activos fijos y mayores gastos de personal, entre otros.</w:t>
      </w:r>
    </w:p>
    <w:bookmarkEnd w:id="67"/>
    <w:p w14:paraId="364A715D" w14:textId="354E4590" w:rsidR="003A1E2C" w:rsidRPr="00A8204C" w:rsidRDefault="001D5FEE" w:rsidP="00B259F8">
      <w:pPr>
        <w:spacing w:line="288" w:lineRule="auto"/>
        <w:jc w:val="both"/>
        <w:rPr>
          <w:rFonts w:ascii="Arial" w:hAnsi="Arial" w:cs="Arial"/>
          <w:w w:val="0"/>
          <w:lang w:val="es-AR"/>
        </w:rPr>
      </w:pPr>
      <w:r w:rsidRPr="00346204">
        <w:rPr>
          <w:rFonts w:ascii="Arial" w:hAnsi="Arial" w:cs="Arial"/>
          <w:w w:val="0"/>
          <w:lang w:val="es-AR"/>
        </w:rPr>
        <w:t xml:space="preserve">Los gastos de administración correspondientes al </w:t>
      </w:r>
      <w:r w:rsidR="00284D2C">
        <w:rPr>
          <w:rFonts w:ascii="Arial" w:hAnsi="Arial" w:cs="Arial"/>
          <w:w w:val="0"/>
          <w:lang w:val="es-AR"/>
        </w:rPr>
        <w:t>segundo</w:t>
      </w:r>
      <w:r w:rsidRPr="00346204">
        <w:rPr>
          <w:rFonts w:ascii="Arial" w:hAnsi="Arial" w:cs="Arial"/>
          <w:w w:val="0"/>
          <w:lang w:val="es-AR"/>
        </w:rPr>
        <w:t xml:space="preserve"> </w:t>
      </w:r>
      <w:r w:rsidR="007B1854" w:rsidRPr="00346204">
        <w:rPr>
          <w:rFonts w:ascii="Arial" w:hAnsi="Arial" w:cs="Arial"/>
          <w:w w:val="0"/>
          <w:lang w:val="es-AR"/>
        </w:rPr>
        <w:t>trimestre de 201</w:t>
      </w:r>
      <w:r w:rsidR="00FA0241" w:rsidRPr="00346204">
        <w:rPr>
          <w:rFonts w:ascii="Arial" w:hAnsi="Arial" w:cs="Arial"/>
          <w:w w:val="0"/>
          <w:lang w:val="es-AR"/>
        </w:rPr>
        <w:t>9</w:t>
      </w:r>
      <w:r w:rsidRPr="00346204">
        <w:rPr>
          <w:rFonts w:ascii="Arial" w:hAnsi="Arial" w:cs="Arial"/>
          <w:w w:val="0"/>
          <w:lang w:val="es-AR"/>
        </w:rPr>
        <w:t xml:space="preserve"> ascendieron a </w:t>
      </w:r>
      <w:proofErr w:type="spellStart"/>
      <w:r w:rsidRPr="00346204">
        <w:rPr>
          <w:rFonts w:ascii="Arial" w:hAnsi="Arial" w:cs="Arial"/>
          <w:w w:val="0"/>
          <w:lang w:val="es-AR"/>
        </w:rPr>
        <w:t>Ps</w:t>
      </w:r>
      <w:proofErr w:type="spellEnd"/>
      <w:r w:rsidRPr="00346204">
        <w:rPr>
          <w:rFonts w:ascii="Arial" w:hAnsi="Arial" w:cs="Arial"/>
          <w:w w:val="0"/>
          <w:lang w:val="es-AR"/>
        </w:rPr>
        <w:t xml:space="preserve"> </w:t>
      </w:r>
      <w:r w:rsidR="00AF15E3">
        <w:rPr>
          <w:rFonts w:ascii="Arial" w:hAnsi="Arial" w:cs="Arial"/>
          <w:w w:val="0"/>
          <w:lang w:val="es-AR"/>
        </w:rPr>
        <w:t>5</w:t>
      </w:r>
      <w:r w:rsidR="00346204" w:rsidRPr="00346204">
        <w:rPr>
          <w:rFonts w:ascii="Arial" w:hAnsi="Arial" w:cs="Arial"/>
          <w:w w:val="0"/>
          <w:lang w:val="es-AR"/>
        </w:rPr>
        <w:t>,8</w:t>
      </w:r>
      <w:r w:rsidRPr="00346204">
        <w:rPr>
          <w:rFonts w:ascii="Arial" w:hAnsi="Arial" w:cs="Arial"/>
          <w:w w:val="0"/>
          <w:lang w:val="es-AR"/>
        </w:rPr>
        <w:t xml:space="preserve"> MM</w:t>
      </w:r>
      <w:r w:rsidR="00346204" w:rsidRPr="00346204">
        <w:rPr>
          <w:rFonts w:ascii="Arial" w:hAnsi="Arial" w:cs="Arial"/>
          <w:w w:val="0"/>
          <w:lang w:val="es-AR"/>
        </w:rPr>
        <w:t xml:space="preserve"> presentando un aument</w:t>
      </w:r>
      <w:r w:rsidR="00D60946">
        <w:rPr>
          <w:rFonts w:ascii="Arial" w:hAnsi="Arial" w:cs="Arial"/>
          <w:w w:val="0"/>
          <w:lang w:val="es-AR"/>
        </w:rPr>
        <w:t>o del 95,1</w:t>
      </w:r>
      <w:r w:rsidR="00B259F8" w:rsidRPr="00346204">
        <w:rPr>
          <w:rFonts w:ascii="Arial" w:hAnsi="Arial" w:cs="Arial"/>
          <w:w w:val="0"/>
          <w:lang w:val="es-AR"/>
        </w:rPr>
        <w:t>%</w:t>
      </w:r>
      <w:r w:rsidR="00B239E0" w:rsidRPr="00346204">
        <w:rPr>
          <w:rFonts w:ascii="Arial" w:hAnsi="Arial" w:cs="Arial"/>
          <w:w w:val="0"/>
          <w:lang w:val="es-AR"/>
        </w:rPr>
        <w:t xml:space="preserve"> frente a los </w:t>
      </w:r>
      <w:proofErr w:type="spellStart"/>
      <w:r w:rsidR="00910766">
        <w:rPr>
          <w:rFonts w:ascii="Arial" w:hAnsi="Arial" w:cs="Arial"/>
          <w:w w:val="0"/>
          <w:lang w:val="es-AR"/>
        </w:rPr>
        <w:t>Ps</w:t>
      </w:r>
      <w:proofErr w:type="spellEnd"/>
      <w:r w:rsidR="00910766">
        <w:rPr>
          <w:rFonts w:ascii="Arial" w:hAnsi="Arial" w:cs="Arial"/>
          <w:w w:val="0"/>
          <w:lang w:val="es-AR"/>
        </w:rPr>
        <w:t xml:space="preserve"> 3,0</w:t>
      </w:r>
      <w:r w:rsidR="00B239E0" w:rsidRPr="00346204">
        <w:rPr>
          <w:rFonts w:ascii="Arial" w:hAnsi="Arial" w:cs="Arial"/>
          <w:w w:val="0"/>
          <w:lang w:val="es-AR"/>
        </w:rPr>
        <w:t xml:space="preserve"> MM registrados durante el </w:t>
      </w:r>
      <w:r w:rsidR="00284D2C">
        <w:rPr>
          <w:rFonts w:ascii="Arial" w:hAnsi="Arial" w:cs="Arial"/>
          <w:w w:val="0"/>
          <w:lang w:val="es-AR"/>
        </w:rPr>
        <w:t>segundo</w:t>
      </w:r>
      <w:r w:rsidR="00FA0241" w:rsidRPr="00346204">
        <w:rPr>
          <w:rFonts w:ascii="Arial" w:hAnsi="Arial" w:cs="Arial"/>
          <w:w w:val="0"/>
          <w:lang w:val="es-AR"/>
        </w:rPr>
        <w:t xml:space="preserve"> trimestre 2018</w:t>
      </w:r>
      <w:r w:rsidR="0044729F">
        <w:rPr>
          <w:rFonts w:ascii="Arial" w:hAnsi="Arial" w:cs="Arial"/>
          <w:w w:val="0"/>
          <w:lang w:val="es-AR"/>
        </w:rPr>
        <w:t xml:space="preserve">, </w:t>
      </w:r>
      <w:r w:rsidR="008512FD" w:rsidRPr="008512FD">
        <w:rPr>
          <w:rFonts w:ascii="Arial" w:hAnsi="Arial" w:cs="Arial"/>
          <w:w w:val="0"/>
          <w:lang w:val="es-AR"/>
        </w:rPr>
        <w:t>fundamentalmente debido a incrementos en los gastos de personal, a los mayores costos en contrataciones de servicios y licencias informáticas, muchos de los cuales están dolarizados, a los mayores cargos relacionados con la publicidad institucional y a mayores cargos en las depreciaciones de activos fijos.</w:t>
      </w:r>
    </w:p>
    <w:bookmarkEnd w:id="68"/>
    <w:p w14:paraId="35EF0082" w14:textId="04982766" w:rsidR="0024147F" w:rsidRPr="0058416B" w:rsidRDefault="001D5FEE" w:rsidP="003A1E2C">
      <w:pPr>
        <w:spacing w:line="288" w:lineRule="auto"/>
        <w:jc w:val="both"/>
        <w:rPr>
          <w:rFonts w:ascii="Arial" w:hAnsi="Arial" w:cs="Arial"/>
          <w:lang w:val="es-AR"/>
        </w:rPr>
      </w:pPr>
      <w:r w:rsidRPr="00485C1E">
        <w:rPr>
          <w:rFonts w:ascii="Arial" w:hAnsi="Arial" w:cs="Arial"/>
          <w:w w:val="0"/>
          <w:lang w:val="es-AR"/>
        </w:rPr>
        <w:t>Los gasto</w:t>
      </w:r>
      <w:r w:rsidR="00E520F6" w:rsidRPr="00485C1E">
        <w:rPr>
          <w:rFonts w:ascii="Arial" w:hAnsi="Arial" w:cs="Arial"/>
          <w:w w:val="0"/>
          <w:lang w:val="es-AR"/>
        </w:rPr>
        <w:t xml:space="preserve">s de exploración </w:t>
      </w:r>
      <w:r w:rsidR="00D075D1" w:rsidRPr="00485C1E">
        <w:rPr>
          <w:rFonts w:ascii="Arial" w:hAnsi="Arial" w:cs="Arial"/>
          <w:w w:val="0"/>
          <w:lang w:val="es-AR"/>
        </w:rPr>
        <w:t xml:space="preserve">correspondientes al </w:t>
      </w:r>
      <w:r w:rsidR="00284D2C">
        <w:rPr>
          <w:rFonts w:ascii="Arial" w:hAnsi="Arial" w:cs="Arial"/>
          <w:w w:val="0"/>
          <w:lang w:val="es-AR"/>
        </w:rPr>
        <w:t>segundo</w:t>
      </w:r>
      <w:r w:rsidR="00D075D1" w:rsidRPr="00485C1E">
        <w:rPr>
          <w:rFonts w:ascii="Arial" w:hAnsi="Arial" w:cs="Arial"/>
          <w:w w:val="0"/>
          <w:lang w:val="es-AR"/>
        </w:rPr>
        <w:t xml:space="preserve"> trimestre de 201</w:t>
      </w:r>
      <w:r w:rsidR="00FA0241">
        <w:rPr>
          <w:rFonts w:ascii="Arial" w:hAnsi="Arial" w:cs="Arial"/>
          <w:w w:val="0"/>
          <w:lang w:val="es-AR"/>
        </w:rPr>
        <w:t>9</w:t>
      </w:r>
      <w:r w:rsidR="00D075D1" w:rsidRPr="00485C1E">
        <w:rPr>
          <w:rFonts w:ascii="Arial" w:hAnsi="Arial" w:cs="Arial"/>
          <w:w w:val="0"/>
          <w:lang w:val="es-AR"/>
        </w:rPr>
        <w:t xml:space="preserve"> ascendieron</w:t>
      </w:r>
      <w:r w:rsidRPr="00485C1E">
        <w:rPr>
          <w:rFonts w:ascii="Arial" w:hAnsi="Arial" w:cs="Arial"/>
          <w:w w:val="0"/>
          <w:lang w:val="es-AR"/>
        </w:rPr>
        <w:t xml:space="preserve"> a </w:t>
      </w:r>
      <w:proofErr w:type="spellStart"/>
      <w:r w:rsidRPr="00485C1E">
        <w:rPr>
          <w:rFonts w:ascii="Arial" w:hAnsi="Arial" w:cs="Arial"/>
          <w:w w:val="0"/>
          <w:lang w:val="es-AR"/>
        </w:rPr>
        <w:t>Ps</w:t>
      </w:r>
      <w:proofErr w:type="spellEnd"/>
      <w:r w:rsidRPr="00485C1E">
        <w:rPr>
          <w:rFonts w:ascii="Arial" w:hAnsi="Arial" w:cs="Arial"/>
          <w:w w:val="0"/>
          <w:lang w:val="es-AR"/>
        </w:rPr>
        <w:t xml:space="preserve"> </w:t>
      </w:r>
      <w:r w:rsidR="00D60946">
        <w:rPr>
          <w:rFonts w:ascii="Arial" w:hAnsi="Arial" w:cs="Arial"/>
          <w:w w:val="0"/>
          <w:lang w:val="es-AR"/>
        </w:rPr>
        <w:t>1,1</w:t>
      </w:r>
      <w:r w:rsidRPr="00485C1E">
        <w:rPr>
          <w:rFonts w:ascii="Arial" w:hAnsi="Arial" w:cs="Arial"/>
          <w:w w:val="0"/>
          <w:lang w:val="es-AR"/>
        </w:rPr>
        <w:t xml:space="preserve"> MM, </w:t>
      </w:r>
      <w:r w:rsidR="00D075D1" w:rsidRPr="00485C1E">
        <w:rPr>
          <w:rFonts w:ascii="Arial" w:hAnsi="Arial" w:cs="Arial"/>
          <w:w w:val="0"/>
          <w:lang w:val="es-AR"/>
        </w:rPr>
        <w:t xml:space="preserve">presentando </w:t>
      </w:r>
      <w:r w:rsidR="00B259F8" w:rsidRPr="00485C1E">
        <w:rPr>
          <w:rFonts w:ascii="Arial" w:hAnsi="Arial" w:cs="Arial"/>
          <w:w w:val="0"/>
          <w:lang w:val="es-AR"/>
        </w:rPr>
        <w:t>un incremento</w:t>
      </w:r>
      <w:r w:rsidR="00D075D1" w:rsidRPr="00485C1E">
        <w:rPr>
          <w:rFonts w:ascii="Arial" w:hAnsi="Arial" w:cs="Arial"/>
          <w:w w:val="0"/>
          <w:lang w:val="es-AR"/>
        </w:rPr>
        <w:t xml:space="preserve"> de </w:t>
      </w:r>
      <w:r w:rsidR="00D60946">
        <w:rPr>
          <w:rFonts w:ascii="Arial" w:hAnsi="Arial" w:cs="Arial"/>
          <w:w w:val="0"/>
          <w:lang w:val="es-AR"/>
        </w:rPr>
        <w:t>127,6</w:t>
      </w:r>
      <w:r w:rsidR="00497123" w:rsidRPr="00485C1E">
        <w:rPr>
          <w:rFonts w:ascii="Arial" w:hAnsi="Arial" w:cs="Arial"/>
          <w:w w:val="0"/>
          <w:lang w:val="es-AR"/>
        </w:rPr>
        <w:t>%</w:t>
      </w:r>
      <w:r w:rsidR="00D075D1" w:rsidRPr="00485C1E">
        <w:rPr>
          <w:rFonts w:ascii="Arial" w:hAnsi="Arial" w:cs="Arial"/>
          <w:w w:val="0"/>
          <w:lang w:val="es-AR"/>
        </w:rPr>
        <w:t xml:space="preserve"> frente</w:t>
      </w:r>
      <w:r w:rsidR="00497123" w:rsidRPr="00485C1E">
        <w:rPr>
          <w:rFonts w:ascii="Arial" w:hAnsi="Arial" w:cs="Arial"/>
          <w:w w:val="0"/>
          <w:lang w:val="es-AR"/>
        </w:rPr>
        <w:t xml:space="preserve"> </w:t>
      </w:r>
      <w:r w:rsidRPr="00485C1E">
        <w:rPr>
          <w:rFonts w:ascii="Arial" w:hAnsi="Arial" w:cs="Arial"/>
          <w:w w:val="0"/>
          <w:lang w:val="es-AR"/>
        </w:rPr>
        <w:t xml:space="preserve">a los </w:t>
      </w:r>
      <w:proofErr w:type="spellStart"/>
      <w:r w:rsidR="00D60946">
        <w:rPr>
          <w:rFonts w:ascii="Arial" w:hAnsi="Arial" w:cs="Arial"/>
          <w:w w:val="0"/>
          <w:lang w:val="es-AR"/>
        </w:rPr>
        <w:t>Ps</w:t>
      </w:r>
      <w:proofErr w:type="spellEnd"/>
      <w:r w:rsidR="00D60946">
        <w:rPr>
          <w:rFonts w:ascii="Arial" w:hAnsi="Arial" w:cs="Arial"/>
          <w:w w:val="0"/>
          <w:lang w:val="es-AR"/>
        </w:rPr>
        <w:t xml:space="preserve"> 0,5</w:t>
      </w:r>
      <w:r w:rsidR="002411C3" w:rsidRPr="00485C1E">
        <w:rPr>
          <w:rFonts w:ascii="Arial" w:hAnsi="Arial" w:cs="Arial"/>
          <w:w w:val="0"/>
          <w:lang w:val="es-AR"/>
        </w:rPr>
        <w:t xml:space="preserve"> </w:t>
      </w:r>
      <w:r w:rsidR="000F5A63" w:rsidRPr="00485C1E">
        <w:rPr>
          <w:rFonts w:ascii="Arial" w:hAnsi="Arial" w:cs="Arial"/>
          <w:w w:val="0"/>
          <w:lang w:val="es-AR"/>
        </w:rPr>
        <w:t xml:space="preserve">MM </w:t>
      </w:r>
      <w:r w:rsidRPr="00485C1E">
        <w:rPr>
          <w:rFonts w:ascii="Arial" w:hAnsi="Arial" w:cs="Arial"/>
          <w:w w:val="0"/>
          <w:lang w:val="es-AR"/>
        </w:rPr>
        <w:t xml:space="preserve">registrados en el </w:t>
      </w:r>
      <w:r w:rsidR="00284D2C">
        <w:rPr>
          <w:rFonts w:ascii="Arial" w:hAnsi="Arial" w:cs="Arial"/>
          <w:w w:val="0"/>
          <w:lang w:val="es-AR"/>
        </w:rPr>
        <w:t>segundo</w:t>
      </w:r>
      <w:r w:rsidR="00FA0241">
        <w:rPr>
          <w:rFonts w:ascii="Arial" w:hAnsi="Arial" w:cs="Arial"/>
          <w:w w:val="0"/>
          <w:lang w:val="es-AR"/>
        </w:rPr>
        <w:t xml:space="preserve"> </w:t>
      </w:r>
      <w:r w:rsidRPr="00485C1E">
        <w:rPr>
          <w:rFonts w:ascii="Arial" w:hAnsi="Arial" w:cs="Arial"/>
          <w:w w:val="0"/>
          <w:lang w:val="es-AR"/>
        </w:rPr>
        <w:t xml:space="preserve">trimestre de </w:t>
      </w:r>
      <w:r w:rsidR="00E520F6" w:rsidRPr="00485C1E">
        <w:rPr>
          <w:rFonts w:ascii="Arial" w:hAnsi="Arial" w:cs="Arial"/>
          <w:w w:val="0"/>
          <w:lang w:val="es-AR"/>
        </w:rPr>
        <w:t>201</w:t>
      </w:r>
      <w:r w:rsidR="00FA0241">
        <w:rPr>
          <w:rFonts w:ascii="Arial" w:hAnsi="Arial" w:cs="Arial"/>
          <w:w w:val="0"/>
          <w:lang w:val="es-AR"/>
        </w:rPr>
        <w:t>8</w:t>
      </w:r>
      <w:r w:rsidR="000F5A63" w:rsidRPr="00485C1E">
        <w:rPr>
          <w:rFonts w:ascii="Arial" w:hAnsi="Arial" w:cs="Arial"/>
          <w:w w:val="0"/>
          <w:lang w:val="es-AR"/>
        </w:rPr>
        <w:t>.</w:t>
      </w:r>
      <w:r w:rsidR="003B3A1A" w:rsidRPr="00485C1E">
        <w:rPr>
          <w:rFonts w:ascii="Arial" w:hAnsi="Arial" w:cs="Arial"/>
          <w:w w:val="0"/>
          <w:lang w:val="es-AR"/>
        </w:rPr>
        <w:t xml:space="preserve"> </w:t>
      </w:r>
    </w:p>
    <w:p w14:paraId="2C7ED63A" w14:textId="1976D697" w:rsidR="008512FD" w:rsidRPr="008512FD" w:rsidRDefault="00497123" w:rsidP="008512FD">
      <w:pPr>
        <w:spacing w:line="288" w:lineRule="auto"/>
        <w:jc w:val="both"/>
        <w:rPr>
          <w:rFonts w:ascii="Arial" w:hAnsi="Arial" w:cs="Arial"/>
          <w:w w:val="0"/>
          <w:lang w:val="es-AR"/>
        </w:rPr>
      </w:pPr>
      <w:r w:rsidRPr="00485C1E">
        <w:rPr>
          <w:rFonts w:ascii="Arial" w:hAnsi="Arial" w:cs="Arial"/>
          <w:w w:val="0"/>
          <w:lang w:val="es-AR"/>
        </w:rPr>
        <w:t xml:space="preserve">Los </w:t>
      </w:r>
      <w:r w:rsidR="0026374F" w:rsidRPr="00485C1E">
        <w:rPr>
          <w:rFonts w:ascii="Arial" w:hAnsi="Arial" w:cs="Arial"/>
          <w:w w:val="0"/>
          <w:lang w:val="es-AR"/>
        </w:rPr>
        <w:t>o</w:t>
      </w:r>
      <w:r w:rsidRPr="00485C1E">
        <w:rPr>
          <w:rFonts w:ascii="Arial" w:hAnsi="Arial" w:cs="Arial"/>
          <w:w w:val="0"/>
          <w:lang w:val="es-AR"/>
        </w:rPr>
        <w:t>tros resultados operativos, netos, correspondie</w:t>
      </w:r>
      <w:r w:rsidR="00C759C7" w:rsidRPr="00485C1E">
        <w:rPr>
          <w:rFonts w:ascii="Arial" w:hAnsi="Arial" w:cs="Arial"/>
          <w:w w:val="0"/>
          <w:lang w:val="es-AR"/>
        </w:rPr>
        <w:t xml:space="preserve">ntes al </w:t>
      </w:r>
      <w:r w:rsidR="00284D2C">
        <w:rPr>
          <w:rFonts w:ascii="Arial" w:hAnsi="Arial" w:cs="Arial"/>
          <w:w w:val="0"/>
          <w:lang w:val="es-AR"/>
        </w:rPr>
        <w:t>segundo</w:t>
      </w:r>
      <w:r w:rsidR="00C759C7" w:rsidRPr="00485C1E">
        <w:rPr>
          <w:rFonts w:ascii="Arial" w:hAnsi="Arial" w:cs="Arial"/>
          <w:w w:val="0"/>
          <w:lang w:val="es-AR"/>
        </w:rPr>
        <w:t xml:space="preserve"> trimestre de 201</w:t>
      </w:r>
      <w:r w:rsidR="00FA0241">
        <w:rPr>
          <w:rFonts w:ascii="Arial" w:hAnsi="Arial" w:cs="Arial"/>
          <w:w w:val="0"/>
          <w:lang w:val="es-AR"/>
        </w:rPr>
        <w:t>9</w:t>
      </w:r>
      <w:r w:rsidR="00C759C7" w:rsidRPr="00485C1E">
        <w:rPr>
          <w:rFonts w:ascii="Arial" w:hAnsi="Arial" w:cs="Arial"/>
          <w:w w:val="0"/>
          <w:lang w:val="es-AR"/>
        </w:rPr>
        <w:t xml:space="preserve"> </w:t>
      </w:r>
      <w:r w:rsidR="003A53E6" w:rsidRPr="00485C1E">
        <w:rPr>
          <w:rFonts w:ascii="Arial" w:hAnsi="Arial" w:cs="Arial"/>
          <w:w w:val="0"/>
          <w:lang w:val="es-AR"/>
        </w:rPr>
        <w:t>fueron</w:t>
      </w:r>
      <w:r w:rsidR="00A84CFD">
        <w:rPr>
          <w:rFonts w:ascii="Arial" w:hAnsi="Arial" w:cs="Arial"/>
          <w:w w:val="0"/>
          <w:lang w:val="es-AR"/>
        </w:rPr>
        <w:t xml:space="preserve"> negativos</w:t>
      </w:r>
      <w:r w:rsidR="007241F2">
        <w:rPr>
          <w:rFonts w:ascii="Arial" w:hAnsi="Arial" w:cs="Arial"/>
          <w:w w:val="0"/>
          <w:lang w:val="es-AR"/>
        </w:rPr>
        <w:t xml:space="preserve"> </w:t>
      </w:r>
      <w:r w:rsidR="003A53E6" w:rsidRPr="00485C1E">
        <w:rPr>
          <w:rFonts w:ascii="Arial" w:hAnsi="Arial" w:cs="Arial"/>
          <w:w w:val="0"/>
          <w:lang w:val="es-AR"/>
        </w:rPr>
        <w:t>en</w:t>
      </w:r>
      <w:r w:rsidRPr="00485C1E">
        <w:rPr>
          <w:rFonts w:ascii="Arial" w:hAnsi="Arial" w:cs="Arial"/>
          <w:w w:val="0"/>
          <w:lang w:val="es-AR"/>
        </w:rPr>
        <w:t xml:space="preserve"> </w:t>
      </w:r>
      <w:proofErr w:type="spellStart"/>
      <w:r w:rsidRPr="00485C1E">
        <w:rPr>
          <w:rFonts w:ascii="Arial" w:hAnsi="Arial" w:cs="Arial"/>
          <w:w w:val="0"/>
          <w:lang w:val="es-AR"/>
        </w:rPr>
        <w:t>Ps</w:t>
      </w:r>
      <w:proofErr w:type="spellEnd"/>
      <w:r w:rsidRPr="00485C1E">
        <w:rPr>
          <w:rFonts w:ascii="Arial" w:hAnsi="Arial" w:cs="Arial"/>
          <w:w w:val="0"/>
          <w:lang w:val="es-AR"/>
        </w:rPr>
        <w:t xml:space="preserve"> </w:t>
      </w:r>
      <w:r w:rsidR="00A84CFD">
        <w:rPr>
          <w:rFonts w:ascii="Arial" w:hAnsi="Arial" w:cs="Arial"/>
          <w:w w:val="0"/>
          <w:lang w:val="es-AR"/>
        </w:rPr>
        <w:t>0,9</w:t>
      </w:r>
      <w:r w:rsidR="002411C3" w:rsidRPr="00485C1E">
        <w:rPr>
          <w:rFonts w:ascii="Arial" w:hAnsi="Arial" w:cs="Arial"/>
          <w:w w:val="0"/>
          <w:lang w:val="es-AR"/>
        </w:rPr>
        <w:t xml:space="preserve"> </w:t>
      </w:r>
      <w:r w:rsidR="007241F2">
        <w:rPr>
          <w:rFonts w:ascii="Arial" w:hAnsi="Arial" w:cs="Arial"/>
          <w:w w:val="0"/>
          <w:lang w:val="es-AR"/>
        </w:rPr>
        <w:t>MM</w:t>
      </w:r>
      <w:r w:rsidR="00C759C7" w:rsidRPr="00485C1E">
        <w:rPr>
          <w:rFonts w:ascii="Arial" w:hAnsi="Arial" w:cs="Arial"/>
          <w:w w:val="0"/>
          <w:lang w:val="es-AR"/>
        </w:rPr>
        <w:t xml:space="preserve">, </w:t>
      </w:r>
      <w:r w:rsidRPr="00485C1E">
        <w:rPr>
          <w:rFonts w:ascii="Arial" w:hAnsi="Arial" w:cs="Arial"/>
          <w:w w:val="0"/>
          <w:lang w:val="es-AR"/>
        </w:rPr>
        <w:t>comparado</w:t>
      </w:r>
      <w:r w:rsidR="000F5A63" w:rsidRPr="00485C1E">
        <w:rPr>
          <w:rFonts w:ascii="Arial" w:hAnsi="Arial" w:cs="Arial"/>
          <w:w w:val="0"/>
          <w:lang w:val="es-AR"/>
        </w:rPr>
        <w:t>s</w:t>
      </w:r>
      <w:r w:rsidRPr="00485C1E">
        <w:rPr>
          <w:rFonts w:ascii="Arial" w:hAnsi="Arial" w:cs="Arial"/>
          <w:w w:val="0"/>
          <w:lang w:val="es-AR"/>
        </w:rPr>
        <w:t xml:space="preserve"> con la </w:t>
      </w:r>
      <w:r w:rsidR="00A84CFD">
        <w:rPr>
          <w:rFonts w:ascii="Arial" w:hAnsi="Arial" w:cs="Arial"/>
          <w:w w:val="0"/>
          <w:lang w:val="es-AR"/>
        </w:rPr>
        <w:t>pérdida</w:t>
      </w:r>
      <w:r w:rsidR="002C7AD6">
        <w:rPr>
          <w:rFonts w:ascii="Arial" w:hAnsi="Arial" w:cs="Arial"/>
          <w:w w:val="0"/>
          <w:lang w:val="es-AR"/>
        </w:rPr>
        <w:t xml:space="preserve"> </w:t>
      </w:r>
      <w:r w:rsidRPr="00485C1E">
        <w:rPr>
          <w:rFonts w:ascii="Arial" w:hAnsi="Arial" w:cs="Arial"/>
          <w:w w:val="0"/>
          <w:lang w:val="es-AR"/>
        </w:rPr>
        <w:t xml:space="preserve">de </w:t>
      </w:r>
      <w:proofErr w:type="spellStart"/>
      <w:r w:rsidRPr="00485C1E">
        <w:rPr>
          <w:rFonts w:ascii="Arial" w:hAnsi="Arial" w:cs="Arial"/>
          <w:w w:val="0"/>
          <w:lang w:val="es-AR"/>
        </w:rPr>
        <w:t>Ps</w:t>
      </w:r>
      <w:proofErr w:type="spellEnd"/>
      <w:r w:rsidRPr="00485C1E">
        <w:rPr>
          <w:rFonts w:ascii="Arial" w:hAnsi="Arial" w:cs="Arial"/>
          <w:w w:val="0"/>
          <w:lang w:val="es-AR"/>
        </w:rPr>
        <w:t xml:space="preserve"> </w:t>
      </w:r>
      <w:r w:rsidR="00A84CFD">
        <w:rPr>
          <w:rFonts w:ascii="Arial" w:hAnsi="Arial" w:cs="Arial"/>
          <w:w w:val="0"/>
          <w:lang w:val="es-AR"/>
        </w:rPr>
        <w:t>17 millones</w:t>
      </w:r>
      <w:r w:rsidRPr="00485C1E">
        <w:rPr>
          <w:rFonts w:ascii="Arial" w:hAnsi="Arial" w:cs="Arial"/>
          <w:w w:val="0"/>
          <w:lang w:val="es-AR"/>
        </w:rPr>
        <w:t xml:space="preserve"> d</w:t>
      </w:r>
      <w:r w:rsidR="00FA0241">
        <w:rPr>
          <w:rFonts w:ascii="Arial" w:hAnsi="Arial" w:cs="Arial"/>
          <w:w w:val="0"/>
          <w:lang w:val="es-AR"/>
        </w:rPr>
        <w:t>el mismo período de 2018</w:t>
      </w:r>
      <w:r w:rsidR="002C7AD6">
        <w:rPr>
          <w:rFonts w:ascii="Arial" w:hAnsi="Arial" w:cs="Arial"/>
          <w:w w:val="0"/>
          <w:lang w:val="es-AR"/>
        </w:rPr>
        <w:t xml:space="preserve">. </w:t>
      </w:r>
      <w:r w:rsidR="008512FD" w:rsidRPr="008512FD">
        <w:rPr>
          <w:rFonts w:ascii="Arial" w:hAnsi="Arial" w:cs="Arial"/>
          <w:w w:val="0"/>
          <w:lang w:val="es-AR"/>
        </w:rPr>
        <w:t>La varia</w:t>
      </w:r>
      <w:r w:rsidR="008512FD">
        <w:rPr>
          <w:rFonts w:ascii="Arial" w:hAnsi="Arial" w:cs="Arial"/>
          <w:w w:val="0"/>
          <w:lang w:val="es-AR"/>
        </w:rPr>
        <w:t xml:space="preserve">ción corresponde principalmente a </w:t>
      </w:r>
      <w:r w:rsidR="008512FD" w:rsidRPr="008512FD">
        <w:rPr>
          <w:rFonts w:ascii="Arial" w:hAnsi="Arial" w:cs="Arial"/>
          <w:w w:val="0"/>
          <w:lang w:val="es-AR"/>
        </w:rPr>
        <w:t>mayores cargos en la provisión para contingencias judiciales y a que en el segundo trimestre de 2018, se ha</w:t>
      </w:r>
      <w:r w:rsidR="008512FD">
        <w:rPr>
          <w:rFonts w:ascii="Arial" w:hAnsi="Arial" w:cs="Arial"/>
          <w:w w:val="0"/>
          <w:lang w:val="es-AR"/>
        </w:rPr>
        <w:t xml:space="preserve">bía registrado una ganancia de </w:t>
      </w:r>
      <w:proofErr w:type="spellStart"/>
      <w:r w:rsidR="008512FD">
        <w:rPr>
          <w:rFonts w:ascii="Arial" w:hAnsi="Arial" w:cs="Arial"/>
          <w:w w:val="0"/>
          <w:lang w:val="es-AR"/>
        </w:rPr>
        <w:t>Ps</w:t>
      </w:r>
      <w:proofErr w:type="spellEnd"/>
      <w:r w:rsidR="008512FD">
        <w:rPr>
          <w:rFonts w:ascii="Arial" w:hAnsi="Arial" w:cs="Arial"/>
          <w:w w:val="0"/>
          <w:lang w:val="es-AR"/>
        </w:rPr>
        <w:t xml:space="preserve"> 0,3 MM</w:t>
      </w:r>
      <w:r w:rsidR="008512FD" w:rsidRPr="008512FD">
        <w:rPr>
          <w:rFonts w:ascii="Arial" w:hAnsi="Arial" w:cs="Arial"/>
          <w:w w:val="0"/>
          <w:lang w:val="es-AR"/>
        </w:rPr>
        <w:t xml:space="preserve"> como resultado la cesión total de participación en el área Cerro Bandera.</w:t>
      </w:r>
    </w:p>
    <w:p w14:paraId="50AC9F09" w14:textId="437E8181" w:rsidR="008512FD" w:rsidRPr="008512FD" w:rsidRDefault="00B07443" w:rsidP="008512FD">
      <w:pPr>
        <w:spacing w:line="288" w:lineRule="auto"/>
        <w:jc w:val="both"/>
        <w:rPr>
          <w:rFonts w:ascii="Arial" w:hAnsi="Arial" w:cs="Arial"/>
          <w:w w:val="0"/>
          <w:lang w:val="es-AR"/>
        </w:rPr>
      </w:pPr>
      <w:r w:rsidRPr="002C7AD6">
        <w:rPr>
          <w:rFonts w:ascii="Arial" w:hAnsi="Arial" w:cs="Arial"/>
          <w:w w:val="0"/>
          <w:lang w:val="es-AR"/>
        </w:rPr>
        <w:t xml:space="preserve">Los resultados financieros </w:t>
      </w:r>
      <w:r w:rsidR="001C7BEF">
        <w:rPr>
          <w:rFonts w:ascii="Arial" w:hAnsi="Arial" w:cs="Arial"/>
          <w:w w:val="0"/>
          <w:lang w:val="es-AR"/>
        </w:rPr>
        <w:t xml:space="preserve">netos </w:t>
      </w:r>
      <w:r w:rsidRPr="002C7AD6">
        <w:rPr>
          <w:rFonts w:ascii="Arial" w:hAnsi="Arial" w:cs="Arial"/>
          <w:w w:val="0"/>
          <w:lang w:val="es-AR"/>
        </w:rPr>
        <w:t xml:space="preserve">correspondientes al </w:t>
      </w:r>
      <w:r w:rsidR="00BC1699">
        <w:rPr>
          <w:rFonts w:ascii="Arial" w:hAnsi="Arial" w:cs="Arial"/>
          <w:w w:val="0"/>
          <w:lang w:val="es-AR"/>
        </w:rPr>
        <w:t xml:space="preserve">segundo </w:t>
      </w:r>
      <w:r w:rsidRPr="002C7AD6">
        <w:rPr>
          <w:rFonts w:ascii="Arial" w:hAnsi="Arial" w:cs="Arial"/>
          <w:w w:val="0"/>
          <w:lang w:val="es-AR"/>
        </w:rPr>
        <w:t>trim</w:t>
      </w:r>
      <w:r w:rsidR="00A07812" w:rsidRPr="002C7AD6">
        <w:rPr>
          <w:rFonts w:ascii="Arial" w:hAnsi="Arial" w:cs="Arial"/>
          <w:w w:val="0"/>
          <w:lang w:val="es-AR"/>
        </w:rPr>
        <w:t>estre de 201</w:t>
      </w:r>
      <w:r w:rsidR="00FA0241" w:rsidRPr="002C7AD6">
        <w:rPr>
          <w:rFonts w:ascii="Arial" w:hAnsi="Arial" w:cs="Arial"/>
          <w:w w:val="0"/>
          <w:lang w:val="es-AR"/>
        </w:rPr>
        <w:t>9</w:t>
      </w:r>
      <w:r w:rsidRPr="002C7AD6">
        <w:rPr>
          <w:rFonts w:ascii="Arial" w:hAnsi="Arial" w:cs="Arial"/>
          <w:w w:val="0"/>
          <w:lang w:val="es-AR"/>
        </w:rPr>
        <w:t xml:space="preserve"> fueron </w:t>
      </w:r>
      <w:r w:rsidR="00A84CFD">
        <w:rPr>
          <w:rFonts w:ascii="Arial" w:hAnsi="Arial" w:cs="Arial"/>
          <w:w w:val="0"/>
          <w:lang w:val="es-AR"/>
        </w:rPr>
        <w:t>negativos</w:t>
      </w:r>
      <w:r w:rsidR="009E6669">
        <w:rPr>
          <w:rFonts w:ascii="Arial" w:hAnsi="Arial" w:cs="Arial"/>
          <w:w w:val="0"/>
          <w:lang w:val="es-AR"/>
        </w:rPr>
        <w:t xml:space="preserve"> </w:t>
      </w:r>
      <w:r w:rsidRPr="002C7AD6">
        <w:rPr>
          <w:rFonts w:ascii="Arial" w:hAnsi="Arial" w:cs="Arial"/>
          <w:w w:val="0"/>
          <w:lang w:val="es-AR"/>
        </w:rPr>
        <w:t xml:space="preserve">en </w:t>
      </w:r>
      <w:proofErr w:type="spellStart"/>
      <w:r w:rsidRPr="002C7AD6">
        <w:rPr>
          <w:rFonts w:ascii="Arial" w:hAnsi="Arial" w:cs="Arial"/>
          <w:w w:val="0"/>
          <w:lang w:val="es-AR"/>
        </w:rPr>
        <w:t>Ps</w:t>
      </w:r>
      <w:proofErr w:type="spellEnd"/>
      <w:r w:rsidR="00A84CFD">
        <w:rPr>
          <w:rFonts w:ascii="Arial" w:hAnsi="Arial" w:cs="Arial"/>
          <w:w w:val="0"/>
          <w:lang w:val="es-AR"/>
        </w:rPr>
        <w:t xml:space="preserve"> 14,4</w:t>
      </w:r>
      <w:r w:rsidRPr="002C7AD6">
        <w:rPr>
          <w:rFonts w:ascii="Arial" w:hAnsi="Arial" w:cs="Arial"/>
          <w:w w:val="0"/>
          <w:lang w:val="es-AR"/>
        </w:rPr>
        <w:t xml:space="preserve"> MM, </w:t>
      </w:r>
      <w:r w:rsidR="002C7AD6" w:rsidRPr="002C7AD6">
        <w:rPr>
          <w:rFonts w:ascii="Arial" w:hAnsi="Arial" w:cs="Arial"/>
          <w:w w:val="0"/>
          <w:lang w:val="es-AR"/>
        </w:rPr>
        <w:t>en comparación con la ganancia</w:t>
      </w:r>
      <w:r w:rsidR="00A84CFD">
        <w:rPr>
          <w:rFonts w:ascii="Arial" w:hAnsi="Arial" w:cs="Arial"/>
          <w:w w:val="0"/>
          <w:lang w:val="es-AR"/>
        </w:rPr>
        <w:t xml:space="preserve"> </w:t>
      </w:r>
      <w:r w:rsidR="00A84CFD" w:rsidRPr="00A84CFD">
        <w:rPr>
          <w:rFonts w:ascii="Arial" w:hAnsi="Arial" w:cs="Arial"/>
          <w:w w:val="0"/>
          <w:lang w:val="es-AR"/>
        </w:rPr>
        <w:t xml:space="preserve">de </w:t>
      </w:r>
      <w:proofErr w:type="spellStart"/>
      <w:r w:rsidR="00A84CFD" w:rsidRPr="00A84CFD">
        <w:rPr>
          <w:rFonts w:ascii="Arial" w:hAnsi="Arial" w:cs="Arial"/>
          <w:w w:val="0"/>
          <w:lang w:val="es-AR"/>
        </w:rPr>
        <w:t>Ps</w:t>
      </w:r>
      <w:proofErr w:type="spellEnd"/>
      <w:r w:rsidR="00A84CFD" w:rsidRPr="00A84CFD">
        <w:rPr>
          <w:rFonts w:ascii="Arial" w:hAnsi="Arial" w:cs="Arial"/>
          <w:w w:val="0"/>
          <w:lang w:val="es-AR"/>
        </w:rPr>
        <w:t xml:space="preserve"> 22,8</w:t>
      </w:r>
      <w:r w:rsidR="000A1A62" w:rsidRPr="00A84CFD">
        <w:rPr>
          <w:rFonts w:ascii="Arial" w:hAnsi="Arial" w:cs="Arial"/>
          <w:w w:val="0"/>
          <w:lang w:val="es-AR"/>
        </w:rPr>
        <w:t xml:space="preserve"> MM correspondi</w:t>
      </w:r>
      <w:r w:rsidR="00FA0241" w:rsidRPr="00A84CFD">
        <w:rPr>
          <w:rFonts w:ascii="Arial" w:hAnsi="Arial" w:cs="Arial"/>
          <w:w w:val="0"/>
          <w:lang w:val="es-AR"/>
        </w:rPr>
        <w:t>entes al mismo trimestre de 2018</w:t>
      </w:r>
      <w:r w:rsidRPr="00A84CFD">
        <w:rPr>
          <w:rFonts w:ascii="Arial" w:hAnsi="Arial" w:cs="Arial"/>
          <w:w w:val="0"/>
          <w:lang w:val="es-AR"/>
        </w:rPr>
        <w:t xml:space="preserve">. </w:t>
      </w:r>
      <w:r w:rsidR="008512FD" w:rsidRPr="008512FD">
        <w:rPr>
          <w:rFonts w:ascii="Arial" w:hAnsi="Arial" w:cs="Arial"/>
          <w:w w:val="0"/>
          <w:lang w:val="es-AR"/>
        </w:rPr>
        <w:t xml:space="preserve">En este orden, se registró una menor diferencia de cambio positiva sobre los pasivos monetarios netos en pesos de </w:t>
      </w:r>
      <w:proofErr w:type="spellStart"/>
      <w:r w:rsidR="008512FD">
        <w:rPr>
          <w:rFonts w:ascii="Arial" w:hAnsi="Arial" w:cs="Arial"/>
          <w:w w:val="0"/>
          <w:lang w:val="es-AR"/>
        </w:rPr>
        <w:t>Ps</w:t>
      </w:r>
      <w:proofErr w:type="spellEnd"/>
      <w:r w:rsidR="008512FD">
        <w:rPr>
          <w:rFonts w:ascii="Arial" w:hAnsi="Arial" w:cs="Arial"/>
          <w:w w:val="0"/>
          <w:lang w:val="es-AR"/>
        </w:rPr>
        <w:t xml:space="preserve"> 32,4 MM</w:t>
      </w:r>
      <w:r w:rsidR="008512FD" w:rsidRPr="008512FD">
        <w:rPr>
          <w:rFonts w:ascii="Arial" w:hAnsi="Arial" w:cs="Arial"/>
          <w:w w:val="0"/>
          <w:lang w:val="es-AR"/>
        </w:rPr>
        <w:t xml:space="preserve">, debido a la apreciación del peso observada durante el segundo trimestre de 2019, en comparación con el mismo período de 2018, donde se había producido una devaluación del peso. A su vez, se registraron mayores intereses negativos por </w:t>
      </w:r>
      <w:proofErr w:type="spellStart"/>
      <w:r w:rsidR="008512FD">
        <w:rPr>
          <w:rFonts w:ascii="Arial" w:hAnsi="Arial" w:cs="Arial"/>
          <w:w w:val="0"/>
          <w:lang w:val="es-AR"/>
        </w:rPr>
        <w:t>Ps</w:t>
      </w:r>
      <w:proofErr w:type="spellEnd"/>
      <w:r w:rsidR="008512FD">
        <w:rPr>
          <w:rFonts w:ascii="Arial" w:hAnsi="Arial" w:cs="Arial"/>
          <w:w w:val="0"/>
          <w:lang w:val="es-AR"/>
        </w:rPr>
        <w:t xml:space="preserve"> 4,3 MM</w:t>
      </w:r>
      <w:r w:rsidR="008512FD" w:rsidRPr="008512FD">
        <w:rPr>
          <w:rFonts w:ascii="Arial" w:hAnsi="Arial" w:cs="Arial"/>
          <w:w w:val="0"/>
          <w:lang w:val="es-AR"/>
        </w:rPr>
        <w:t xml:space="preserve">, producto de un mayor endeudamiento promedio, medido en pesos, y mayores tasas de interés durante el presente trimestre de 2019 y en comparación con el mismo período de 2018. Por último, se registraron mayores cargos positivos por otros resultados financieros por </w:t>
      </w:r>
      <w:proofErr w:type="spellStart"/>
      <w:r w:rsidR="008512FD">
        <w:rPr>
          <w:rFonts w:ascii="Arial" w:hAnsi="Arial" w:cs="Arial"/>
          <w:w w:val="0"/>
          <w:lang w:val="es-AR"/>
        </w:rPr>
        <w:t>Ps</w:t>
      </w:r>
      <w:proofErr w:type="spellEnd"/>
      <w:r w:rsidR="008512FD">
        <w:rPr>
          <w:rFonts w:ascii="Arial" w:hAnsi="Arial" w:cs="Arial"/>
          <w:w w:val="0"/>
          <w:lang w:val="es-AR"/>
        </w:rPr>
        <w:t xml:space="preserve"> 0,</w:t>
      </w:r>
      <w:r w:rsidR="004B4D5E">
        <w:rPr>
          <w:rFonts w:ascii="Arial" w:hAnsi="Arial" w:cs="Arial"/>
          <w:w w:val="0"/>
          <w:lang w:val="es-AR"/>
        </w:rPr>
        <w:t>7</w:t>
      </w:r>
      <w:r w:rsidR="008512FD">
        <w:rPr>
          <w:rFonts w:ascii="Arial" w:hAnsi="Arial" w:cs="Arial"/>
          <w:w w:val="0"/>
          <w:lang w:val="es-AR"/>
        </w:rPr>
        <w:t xml:space="preserve"> MM</w:t>
      </w:r>
      <w:r w:rsidR="008512FD" w:rsidRPr="008512FD">
        <w:rPr>
          <w:rFonts w:ascii="Arial" w:hAnsi="Arial" w:cs="Arial"/>
          <w:w w:val="0"/>
          <w:lang w:val="es-AR"/>
        </w:rPr>
        <w:t xml:space="preserve">, y mayores intereses ganados por </w:t>
      </w:r>
      <w:proofErr w:type="spellStart"/>
      <w:r w:rsidR="008512FD">
        <w:rPr>
          <w:rFonts w:ascii="Arial" w:hAnsi="Arial" w:cs="Arial"/>
          <w:w w:val="0"/>
          <w:lang w:val="es-AR"/>
        </w:rPr>
        <w:t>Ps</w:t>
      </w:r>
      <w:proofErr w:type="spellEnd"/>
      <w:r w:rsidR="008512FD">
        <w:rPr>
          <w:rFonts w:ascii="Arial" w:hAnsi="Arial" w:cs="Arial"/>
          <w:w w:val="0"/>
          <w:lang w:val="es-AR"/>
        </w:rPr>
        <w:t xml:space="preserve"> 0,9 MM</w:t>
      </w:r>
      <w:r w:rsidR="008512FD" w:rsidRPr="008512FD">
        <w:rPr>
          <w:rFonts w:ascii="Arial" w:hAnsi="Arial" w:cs="Arial"/>
          <w:w w:val="0"/>
          <w:lang w:val="es-AR"/>
        </w:rPr>
        <w:t>.</w:t>
      </w:r>
    </w:p>
    <w:p w14:paraId="291CDAA0" w14:textId="2CCD57C1" w:rsidR="003A1E2C" w:rsidRDefault="00C976EE" w:rsidP="008512FD">
      <w:pPr>
        <w:spacing w:line="288" w:lineRule="auto"/>
        <w:jc w:val="both"/>
        <w:rPr>
          <w:rFonts w:ascii="Arial" w:hAnsi="Arial" w:cs="Arial"/>
          <w:w w:val="0"/>
          <w:lang w:val="es-AR"/>
        </w:rPr>
      </w:pPr>
      <w:r w:rsidRPr="00485C1E">
        <w:rPr>
          <w:rFonts w:ascii="Arial" w:hAnsi="Arial" w:cs="Arial"/>
          <w:w w:val="0"/>
          <w:lang w:val="es-AR"/>
        </w:rPr>
        <w:t xml:space="preserve">El cargo por impuesto a las ganancias correspondiente al </w:t>
      </w:r>
      <w:r w:rsidR="00BC1699">
        <w:rPr>
          <w:rFonts w:ascii="Arial" w:hAnsi="Arial" w:cs="Arial"/>
          <w:w w:val="0"/>
          <w:lang w:val="es-AR"/>
        </w:rPr>
        <w:t xml:space="preserve">segundo </w:t>
      </w:r>
      <w:r w:rsidRPr="00485C1E">
        <w:rPr>
          <w:rFonts w:ascii="Arial" w:hAnsi="Arial" w:cs="Arial"/>
          <w:w w:val="0"/>
          <w:lang w:val="es-AR"/>
        </w:rPr>
        <w:t>trimestre de 201</w:t>
      </w:r>
      <w:r w:rsidR="00FA0241">
        <w:rPr>
          <w:rFonts w:ascii="Arial" w:hAnsi="Arial" w:cs="Arial"/>
          <w:w w:val="0"/>
          <w:lang w:val="es-AR"/>
        </w:rPr>
        <w:t>9</w:t>
      </w:r>
      <w:r w:rsidR="00F71248">
        <w:rPr>
          <w:rFonts w:ascii="Arial" w:hAnsi="Arial" w:cs="Arial"/>
          <w:w w:val="0"/>
          <w:lang w:val="es-AR"/>
        </w:rPr>
        <w:t xml:space="preserve"> fue positivo</w:t>
      </w:r>
      <w:r w:rsidRPr="00485C1E">
        <w:rPr>
          <w:rFonts w:ascii="Arial" w:hAnsi="Arial" w:cs="Arial"/>
          <w:w w:val="0"/>
          <w:lang w:val="es-AR"/>
        </w:rPr>
        <w:t xml:space="preserve"> en</w:t>
      </w:r>
      <w:r w:rsidR="009E6669">
        <w:rPr>
          <w:rFonts w:ascii="Arial" w:hAnsi="Arial" w:cs="Arial"/>
          <w:w w:val="0"/>
          <w:lang w:val="es-AR"/>
        </w:rPr>
        <w:t xml:space="preserve"> </w:t>
      </w:r>
      <w:proofErr w:type="spellStart"/>
      <w:r w:rsidR="009E6669">
        <w:rPr>
          <w:rFonts w:ascii="Arial" w:hAnsi="Arial" w:cs="Arial"/>
          <w:w w:val="0"/>
          <w:lang w:val="es-AR"/>
        </w:rPr>
        <w:t>Ps</w:t>
      </w:r>
      <w:proofErr w:type="spellEnd"/>
      <w:r w:rsidR="009E6669">
        <w:rPr>
          <w:rFonts w:ascii="Arial" w:hAnsi="Arial" w:cs="Arial"/>
          <w:w w:val="0"/>
          <w:lang w:val="es-AR"/>
        </w:rPr>
        <w:t xml:space="preserve"> </w:t>
      </w:r>
      <w:r w:rsidR="00F71248">
        <w:rPr>
          <w:rFonts w:ascii="Arial" w:hAnsi="Arial" w:cs="Arial"/>
          <w:w w:val="0"/>
          <w:lang w:val="es-AR"/>
        </w:rPr>
        <w:t>3,0</w:t>
      </w:r>
      <w:r w:rsidR="005F2C52">
        <w:rPr>
          <w:rFonts w:ascii="Arial" w:hAnsi="Arial" w:cs="Arial"/>
          <w:w w:val="0"/>
          <w:lang w:val="es-AR"/>
        </w:rPr>
        <w:t xml:space="preserve"> </w:t>
      </w:r>
      <w:r w:rsidR="00C75DAF" w:rsidRPr="00485C1E">
        <w:rPr>
          <w:rFonts w:ascii="Arial" w:hAnsi="Arial" w:cs="Arial"/>
          <w:w w:val="0"/>
          <w:lang w:val="es-AR"/>
        </w:rPr>
        <w:t>MM</w:t>
      </w:r>
      <w:r w:rsidRPr="00485C1E">
        <w:rPr>
          <w:rFonts w:ascii="Arial" w:hAnsi="Arial" w:cs="Arial"/>
          <w:w w:val="0"/>
          <w:lang w:val="es-AR"/>
        </w:rPr>
        <w:t xml:space="preserve">, en comparación con el </w:t>
      </w:r>
      <w:r w:rsidR="00F71248">
        <w:rPr>
          <w:rFonts w:ascii="Arial" w:hAnsi="Arial" w:cs="Arial"/>
          <w:w w:val="0"/>
          <w:lang w:val="es-AR"/>
        </w:rPr>
        <w:t xml:space="preserve">cargo negativo de </w:t>
      </w:r>
      <w:proofErr w:type="spellStart"/>
      <w:r w:rsidR="00F71248">
        <w:rPr>
          <w:rFonts w:ascii="Arial" w:hAnsi="Arial" w:cs="Arial"/>
          <w:w w:val="0"/>
          <w:lang w:val="es-AR"/>
        </w:rPr>
        <w:t>Ps</w:t>
      </w:r>
      <w:proofErr w:type="spellEnd"/>
      <w:r w:rsidR="00F71248">
        <w:rPr>
          <w:rFonts w:ascii="Arial" w:hAnsi="Arial" w:cs="Arial"/>
          <w:w w:val="0"/>
          <w:lang w:val="es-AR"/>
        </w:rPr>
        <w:t xml:space="preserve"> 21,9</w:t>
      </w:r>
      <w:r w:rsidRPr="00485C1E">
        <w:rPr>
          <w:rFonts w:ascii="Arial" w:hAnsi="Arial" w:cs="Arial"/>
          <w:w w:val="0"/>
          <w:lang w:val="es-AR"/>
        </w:rPr>
        <w:t xml:space="preserve"> MM correspondien</w:t>
      </w:r>
      <w:r w:rsidR="00FA0241">
        <w:rPr>
          <w:rFonts w:ascii="Arial" w:hAnsi="Arial" w:cs="Arial"/>
          <w:w w:val="0"/>
          <w:lang w:val="es-AR"/>
        </w:rPr>
        <w:t>te al mismo período del año 2018</w:t>
      </w:r>
      <w:r w:rsidR="004B4D5E">
        <w:rPr>
          <w:rFonts w:ascii="Arial" w:hAnsi="Arial" w:cs="Arial"/>
          <w:w w:val="0"/>
          <w:lang w:val="es-AR"/>
        </w:rPr>
        <w:t xml:space="preserve">, </w:t>
      </w:r>
      <w:r w:rsidR="004B4D5E" w:rsidRPr="00364FA5">
        <w:rPr>
          <w:rFonts w:ascii="Arial" w:hAnsi="Arial" w:cs="Arial"/>
          <w:w w:val="0"/>
          <w:lang w:val="es-AR"/>
        </w:rPr>
        <w:t>todo ello considerando la tasa efectiva proyectada.</w:t>
      </w:r>
      <w:r w:rsidRPr="00485C1E">
        <w:rPr>
          <w:rFonts w:ascii="Arial" w:hAnsi="Arial" w:cs="Arial"/>
          <w:w w:val="0"/>
          <w:lang w:val="es-AR"/>
        </w:rPr>
        <w:t xml:space="preserve"> </w:t>
      </w:r>
      <w:bookmarkStart w:id="69" w:name="_Hlk7203057"/>
    </w:p>
    <w:bookmarkEnd w:id="69"/>
    <w:p w14:paraId="0F33F37F" w14:textId="24513173" w:rsidR="00711BF0" w:rsidRDefault="00D62634" w:rsidP="00774F6C">
      <w:pPr>
        <w:spacing w:line="288" w:lineRule="auto"/>
        <w:jc w:val="both"/>
        <w:rPr>
          <w:rFonts w:ascii="Arial" w:hAnsi="Arial" w:cs="Arial"/>
          <w:w w:val="0"/>
          <w:lang w:val="es-AR"/>
        </w:rPr>
      </w:pPr>
      <w:r w:rsidRPr="00711BF0">
        <w:rPr>
          <w:rFonts w:ascii="Arial" w:hAnsi="Arial" w:cs="Arial"/>
          <w:w w:val="0"/>
          <w:lang w:val="es-AR"/>
        </w:rPr>
        <w:t>El r</w:t>
      </w:r>
      <w:r w:rsidR="00FA0241">
        <w:rPr>
          <w:rFonts w:ascii="Arial" w:hAnsi="Arial" w:cs="Arial"/>
          <w:w w:val="0"/>
          <w:lang w:val="es-AR"/>
        </w:rPr>
        <w:t>esultado</w:t>
      </w:r>
      <w:r w:rsidR="00BC1699">
        <w:rPr>
          <w:rFonts w:ascii="Arial" w:hAnsi="Arial" w:cs="Arial"/>
          <w:w w:val="0"/>
          <w:lang w:val="es-AR"/>
        </w:rPr>
        <w:t xml:space="preserve"> neto del segundo trimestre de </w:t>
      </w:r>
      <w:r w:rsidR="00774F6C" w:rsidRPr="00711BF0">
        <w:rPr>
          <w:rFonts w:ascii="Arial" w:hAnsi="Arial" w:cs="Arial"/>
          <w:w w:val="0"/>
          <w:lang w:val="es-AR"/>
        </w:rPr>
        <w:t>201</w:t>
      </w:r>
      <w:r w:rsidR="00FA0241">
        <w:rPr>
          <w:rFonts w:ascii="Arial" w:hAnsi="Arial" w:cs="Arial"/>
          <w:w w:val="0"/>
          <w:lang w:val="es-AR"/>
        </w:rPr>
        <w:t>9</w:t>
      </w:r>
      <w:r w:rsidR="00535BFB">
        <w:rPr>
          <w:rFonts w:ascii="Arial" w:hAnsi="Arial" w:cs="Arial"/>
          <w:w w:val="0"/>
          <w:lang w:val="es-AR"/>
        </w:rPr>
        <w:t xml:space="preserve"> </w:t>
      </w:r>
      <w:r w:rsidR="007E52F7">
        <w:rPr>
          <w:rFonts w:ascii="Arial" w:hAnsi="Arial" w:cs="Arial"/>
          <w:w w:val="0"/>
          <w:lang w:val="es-AR"/>
        </w:rPr>
        <w:t>fue una pérdida</w:t>
      </w:r>
      <w:r w:rsidR="00774F6C" w:rsidRPr="00711BF0">
        <w:rPr>
          <w:rFonts w:ascii="Arial" w:hAnsi="Arial" w:cs="Arial"/>
          <w:w w:val="0"/>
          <w:lang w:val="es-AR"/>
        </w:rPr>
        <w:t xml:space="preserve"> de </w:t>
      </w:r>
      <w:proofErr w:type="spellStart"/>
      <w:r w:rsidR="00774F6C" w:rsidRPr="00711BF0">
        <w:rPr>
          <w:rFonts w:ascii="Arial" w:hAnsi="Arial" w:cs="Arial"/>
          <w:w w:val="0"/>
          <w:lang w:val="es-AR"/>
        </w:rPr>
        <w:t>Ps</w:t>
      </w:r>
      <w:proofErr w:type="spellEnd"/>
      <w:r w:rsidR="00774F6C" w:rsidRPr="00711BF0">
        <w:rPr>
          <w:rFonts w:ascii="Arial" w:hAnsi="Arial" w:cs="Arial"/>
          <w:w w:val="0"/>
          <w:lang w:val="es-AR"/>
        </w:rPr>
        <w:t xml:space="preserve"> </w:t>
      </w:r>
      <w:r w:rsidR="00F71248">
        <w:rPr>
          <w:rFonts w:ascii="Arial" w:hAnsi="Arial" w:cs="Arial"/>
          <w:w w:val="0"/>
          <w:lang w:val="es-AR"/>
        </w:rPr>
        <w:t>2,3</w:t>
      </w:r>
      <w:r w:rsidR="0009014F" w:rsidRPr="00711BF0">
        <w:rPr>
          <w:rFonts w:ascii="Arial" w:hAnsi="Arial" w:cs="Arial"/>
          <w:w w:val="0"/>
          <w:lang w:val="es-AR"/>
        </w:rPr>
        <w:t xml:space="preserve"> </w:t>
      </w:r>
      <w:r w:rsidR="0096085F" w:rsidRPr="00711BF0">
        <w:rPr>
          <w:rFonts w:ascii="Arial" w:hAnsi="Arial" w:cs="Arial"/>
          <w:w w:val="0"/>
          <w:lang w:val="es-AR"/>
        </w:rPr>
        <w:t>MM</w:t>
      </w:r>
      <w:r w:rsidR="007E52F7">
        <w:rPr>
          <w:rFonts w:ascii="Arial" w:hAnsi="Arial" w:cs="Arial"/>
          <w:w w:val="0"/>
          <w:lang w:val="es-AR"/>
        </w:rPr>
        <w:t xml:space="preserve">, en comparación </w:t>
      </w:r>
      <w:r w:rsidR="00774F6C" w:rsidRPr="00711BF0">
        <w:rPr>
          <w:rFonts w:ascii="Arial" w:hAnsi="Arial" w:cs="Arial"/>
          <w:w w:val="0"/>
          <w:lang w:val="es-AR"/>
        </w:rPr>
        <w:t xml:space="preserve">al </w:t>
      </w:r>
      <w:r w:rsidR="00774F6C" w:rsidRPr="005C1887">
        <w:rPr>
          <w:rFonts w:ascii="Arial" w:hAnsi="Arial" w:cs="Arial"/>
          <w:w w:val="0"/>
          <w:lang w:val="es-AR"/>
        </w:rPr>
        <w:t>resultado neto</w:t>
      </w:r>
      <w:r w:rsidR="007E52F7" w:rsidRPr="005C1887">
        <w:rPr>
          <w:rFonts w:ascii="Arial" w:hAnsi="Arial" w:cs="Arial"/>
          <w:w w:val="0"/>
          <w:lang w:val="es-AR"/>
        </w:rPr>
        <w:t xml:space="preserve"> positivo</w:t>
      </w:r>
      <w:r w:rsidR="00E546AD" w:rsidRPr="005C1887">
        <w:rPr>
          <w:rFonts w:ascii="Arial" w:hAnsi="Arial" w:cs="Arial"/>
          <w:w w:val="0"/>
          <w:lang w:val="es-AR"/>
        </w:rPr>
        <w:t xml:space="preserve"> </w:t>
      </w:r>
      <w:r w:rsidR="00774F6C" w:rsidRPr="005C1887">
        <w:rPr>
          <w:rFonts w:ascii="Arial" w:hAnsi="Arial" w:cs="Arial"/>
          <w:w w:val="0"/>
          <w:lang w:val="es-AR"/>
        </w:rPr>
        <w:t xml:space="preserve">de </w:t>
      </w:r>
      <w:proofErr w:type="spellStart"/>
      <w:r w:rsidR="00774F6C" w:rsidRPr="005C1887">
        <w:rPr>
          <w:rFonts w:ascii="Arial" w:hAnsi="Arial" w:cs="Arial"/>
          <w:w w:val="0"/>
          <w:lang w:val="es-AR"/>
        </w:rPr>
        <w:t>Ps</w:t>
      </w:r>
      <w:proofErr w:type="spellEnd"/>
      <w:r w:rsidR="00774F6C" w:rsidRPr="005C1887">
        <w:rPr>
          <w:rFonts w:ascii="Arial" w:hAnsi="Arial" w:cs="Arial"/>
          <w:w w:val="0"/>
          <w:lang w:val="es-AR"/>
        </w:rPr>
        <w:t xml:space="preserve"> </w:t>
      </w:r>
      <w:r w:rsidR="00F71248">
        <w:rPr>
          <w:rFonts w:ascii="Arial" w:hAnsi="Arial" w:cs="Arial"/>
          <w:w w:val="0"/>
          <w:lang w:val="es-AR"/>
        </w:rPr>
        <w:t xml:space="preserve">1,5 </w:t>
      </w:r>
      <w:r w:rsidR="00BC1699">
        <w:rPr>
          <w:rFonts w:ascii="Arial" w:hAnsi="Arial" w:cs="Arial"/>
          <w:w w:val="0"/>
          <w:lang w:val="es-AR"/>
        </w:rPr>
        <w:t xml:space="preserve">MM del segundo trimestre de </w:t>
      </w:r>
      <w:r w:rsidR="00774F6C" w:rsidRPr="005C1887">
        <w:rPr>
          <w:rFonts w:ascii="Arial" w:hAnsi="Arial" w:cs="Arial"/>
          <w:w w:val="0"/>
          <w:lang w:val="es-AR"/>
        </w:rPr>
        <w:t>201</w:t>
      </w:r>
      <w:r w:rsidR="00FA0241" w:rsidRPr="005C1887">
        <w:rPr>
          <w:rFonts w:ascii="Arial" w:hAnsi="Arial" w:cs="Arial"/>
          <w:w w:val="0"/>
          <w:lang w:val="es-AR"/>
        </w:rPr>
        <w:t>8</w:t>
      </w:r>
      <w:r w:rsidR="00774F6C" w:rsidRPr="005C1887">
        <w:rPr>
          <w:rFonts w:ascii="Arial" w:hAnsi="Arial" w:cs="Arial"/>
          <w:w w:val="0"/>
          <w:lang w:val="es-AR"/>
        </w:rPr>
        <w:t>.</w:t>
      </w:r>
    </w:p>
    <w:p w14:paraId="482E45D0" w14:textId="714BC1CD" w:rsidR="00430DDD" w:rsidRPr="00485C1E" w:rsidRDefault="001D5FEE" w:rsidP="009065E9">
      <w:pPr>
        <w:spacing w:line="288" w:lineRule="auto"/>
        <w:jc w:val="both"/>
        <w:rPr>
          <w:rFonts w:ascii="Arial" w:hAnsi="Arial" w:cs="Arial"/>
          <w:w w:val="0"/>
          <w:lang w:val="es-AR"/>
        </w:rPr>
      </w:pPr>
      <w:bookmarkStart w:id="70" w:name="_Hlk2162670"/>
      <w:r w:rsidRPr="00485C1E">
        <w:rPr>
          <w:rFonts w:ascii="Arial" w:hAnsi="Arial" w:cs="Arial"/>
          <w:w w:val="0"/>
          <w:lang w:val="es-AR"/>
        </w:rPr>
        <w:t xml:space="preserve">Las inversiones totales en </w:t>
      </w:r>
      <w:r w:rsidR="00791E00" w:rsidRPr="00485C1E">
        <w:rPr>
          <w:rFonts w:ascii="Arial" w:hAnsi="Arial" w:cs="Arial"/>
          <w:w w:val="0"/>
          <w:lang w:val="es-AR"/>
        </w:rPr>
        <w:t>propiedad, plant</w:t>
      </w:r>
      <w:r w:rsidR="00F93BBF" w:rsidRPr="00485C1E">
        <w:rPr>
          <w:rFonts w:ascii="Arial" w:hAnsi="Arial" w:cs="Arial"/>
          <w:w w:val="0"/>
          <w:lang w:val="es-AR"/>
        </w:rPr>
        <w:t>a</w:t>
      </w:r>
      <w:r w:rsidR="00791E00" w:rsidRPr="00485C1E">
        <w:rPr>
          <w:rFonts w:ascii="Arial" w:hAnsi="Arial" w:cs="Arial"/>
          <w:w w:val="0"/>
          <w:lang w:val="es-AR"/>
        </w:rPr>
        <w:t xml:space="preserve"> y equipo</w:t>
      </w:r>
      <w:r w:rsidRPr="00485C1E">
        <w:rPr>
          <w:rFonts w:ascii="Arial" w:hAnsi="Arial" w:cs="Arial"/>
          <w:w w:val="0"/>
          <w:lang w:val="es-AR"/>
        </w:rPr>
        <w:t xml:space="preserve"> del </w:t>
      </w:r>
      <w:r w:rsidR="00D8030A">
        <w:rPr>
          <w:rFonts w:ascii="Arial" w:hAnsi="Arial" w:cs="Arial"/>
          <w:w w:val="0"/>
          <w:lang w:val="es-AR"/>
        </w:rPr>
        <w:t xml:space="preserve">segundo </w:t>
      </w:r>
      <w:r w:rsidRPr="00485C1E">
        <w:rPr>
          <w:rFonts w:ascii="Arial" w:hAnsi="Arial" w:cs="Arial"/>
          <w:w w:val="0"/>
          <w:lang w:val="es-AR"/>
        </w:rPr>
        <w:t>trimestre</w:t>
      </w:r>
      <w:r w:rsidR="00D8030A">
        <w:rPr>
          <w:rFonts w:ascii="Arial" w:hAnsi="Arial" w:cs="Arial"/>
          <w:w w:val="0"/>
          <w:lang w:val="es-AR"/>
        </w:rPr>
        <w:t xml:space="preserve"> 2019</w:t>
      </w:r>
      <w:r w:rsidRPr="00485C1E">
        <w:rPr>
          <w:rFonts w:ascii="Arial" w:hAnsi="Arial" w:cs="Arial"/>
          <w:w w:val="0"/>
          <w:lang w:val="es-AR"/>
        </w:rPr>
        <w:t xml:space="preserve"> alcanzaron los </w:t>
      </w:r>
      <w:proofErr w:type="spellStart"/>
      <w:r w:rsidRPr="00485C1E">
        <w:rPr>
          <w:rFonts w:ascii="Arial" w:hAnsi="Arial" w:cs="Arial"/>
          <w:w w:val="0"/>
          <w:lang w:val="es-AR"/>
        </w:rPr>
        <w:t>Ps</w:t>
      </w:r>
      <w:proofErr w:type="spellEnd"/>
      <w:r w:rsidRPr="00485C1E">
        <w:rPr>
          <w:rFonts w:ascii="Arial" w:hAnsi="Arial" w:cs="Arial"/>
          <w:w w:val="0"/>
          <w:lang w:val="es-AR"/>
        </w:rPr>
        <w:t xml:space="preserve"> </w:t>
      </w:r>
      <w:r w:rsidR="00F71248">
        <w:rPr>
          <w:rFonts w:ascii="Arial" w:hAnsi="Arial" w:cs="Arial"/>
          <w:w w:val="0"/>
          <w:lang w:val="es-AR"/>
        </w:rPr>
        <w:t>40,1</w:t>
      </w:r>
      <w:r w:rsidR="00AB34B8" w:rsidRPr="00485C1E">
        <w:rPr>
          <w:rFonts w:ascii="Arial" w:hAnsi="Arial" w:cs="Arial"/>
          <w:w w:val="0"/>
          <w:lang w:val="es-AR"/>
        </w:rPr>
        <w:t xml:space="preserve"> </w:t>
      </w:r>
      <w:r w:rsidRPr="00485C1E">
        <w:rPr>
          <w:rFonts w:ascii="Arial" w:hAnsi="Arial" w:cs="Arial"/>
          <w:w w:val="0"/>
          <w:lang w:val="es-AR"/>
        </w:rPr>
        <w:t xml:space="preserve">MM siendo </w:t>
      </w:r>
      <w:r w:rsidR="005A26B7" w:rsidRPr="00485C1E">
        <w:rPr>
          <w:rFonts w:ascii="Arial" w:hAnsi="Arial" w:cs="Arial"/>
          <w:w w:val="0"/>
          <w:lang w:val="es-AR"/>
        </w:rPr>
        <w:t xml:space="preserve">superiores </w:t>
      </w:r>
      <w:r w:rsidRPr="00485C1E">
        <w:rPr>
          <w:rFonts w:ascii="Arial" w:hAnsi="Arial" w:cs="Arial"/>
          <w:w w:val="0"/>
          <w:lang w:val="es-AR"/>
        </w:rPr>
        <w:t xml:space="preserve">en un </w:t>
      </w:r>
      <w:r w:rsidR="00F71248">
        <w:rPr>
          <w:rFonts w:ascii="Arial" w:hAnsi="Arial" w:cs="Arial"/>
          <w:w w:val="0"/>
          <w:lang w:val="es-AR"/>
        </w:rPr>
        <w:t>107,3</w:t>
      </w:r>
      <w:r w:rsidRPr="00485C1E">
        <w:rPr>
          <w:rFonts w:ascii="Arial" w:hAnsi="Arial" w:cs="Arial"/>
          <w:w w:val="0"/>
          <w:lang w:val="es-AR"/>
        </w:rPr>
        <w:t xml:space="preserve">% a las inversiones realizadas durante el </w:t>
      </w:r>
      <w:r w:rsidR="00BC1699">
        <w:rPr>
          <w:rFonts w:ascii="Arial" w:hAnsi="Arial" w:cs="Arial"/>
          <w:w w:val="0"/>
          <w:lang w:val="es-AR"/>
        </w:rPr>
        <w:t>segundo</w:t>
      </w:r>
      <w:r w:rsidR="00FA0241">
        <w:rPr>
          <w:rFonts w:ascii="Arial" w:hAnsi="Arial" w:cs="Arial"/>
          <w:w w:val="0"/>
          <w:lang w:val="es-AR"/>
        </w:rPr>
        <w:t xml:space="preserve"> </w:t>
      </w:r>
      <w:r w:rsidRPr="00485C1E">
        <w:rPr>
          <w:rFonts w:ascii="Arial" w:hAnsi="Arial" w:cs="Arial"/>
          <w:w w:val="0"/>
          <w:lang w:val="es-AR"/>
        </w:rPr>
        <w:t xml:space="preserve">trimestre de </w:t>
      </w:r>
      <w:r w:rsidR="00FF6AA1" w:rsidRPr="00485C1E">
        <w:rPr>
          <w:rFonts w:ascii="Arial" w:hAnsi="Arial" w:cs="Arial"/>
          <w:w w:val="0"/>
          <w:lang w:val="es-AR"/>
        </w:rPr>
        <w:t>201</w:t>
      </w:r>
      <w:r w:rsidR="00FA0241">
        <w:rPr>
          <w:rFonts w:ascii="Arial" w:hAnsi="Arial" w:cs="Arial"/>
          <w:w w:val="0"/>
          <w:lang w:val="es-AR"/>
        </w:rPr>
        <w:t>8</w:t>
      </w:r>
      <w:r w:rsidRPr="00485C1E">
        <w:rPr>
          <w:rFonts w:ascii="Arial" w:hAnsi="Arial" w:cs="Arial"/>
          <w:w w:val="0"/>
          <w:lang w:val="es-AR"/>
        </w:rPr>
        <w:t>.</w:t>
      </w:r>
    </w:p>
    <w:bookmarkEnd w:id="70"/>
    <w:p w14:paraId="323913B5" w14:textId="5CAC57BC" w:rsidR="00C11695" w:rsidRPr="0085310C" w:rsidRDefault="00431458" w:rsidP="00127B1A">
      <w:pPr>
        <w:jc w:val="both"/>
        <w:rPr>
          <w:rFonts w:ascii="Arial" w:hAnsi="Arial" w:cs="Arial"/>
          <w:b/>
          <w:color w:val="000000"/>
          <w:spacing w:val="-3"/>
          <w:sz w:val="24"/>
          <w:u w:val="single"/>
          <w:lang w:val="es-AR"/>
        </w:rPr>
      </w:pPr>
      <w:r w:rsidRPr="00B31F43">
        <w:rPr>
          <w:rFonts w:ascii="Arial" w:hAnsi="Arial" w:cs="Arial"/>
          <w:color w:val="000000"/>
          <w:spacing w:val="-3"/>
          <w:sz w:val="24"/>
          <w:u w:val="single"/>
          <w:lang w:val="es-AR"/>
        </w:rPr>
        <w:br w:type="page"/>
      </w:r>
      <w:r w:rsidR="00130D27" w:rsidRPr="0085310C">
        <w:rPr>
          <w:rFonts w:ascii="Arial" w:hAnsi="Arial" w:cs="Arial"/>
          <w:b/>
          <w:color w:val="000000"/>
          <w:spacing w:val="-3"/>
          <w:sz w:val="24"/>
          <w:u w:val="single"/>
          <w:lang w:val="es-AR"/>
        </w:rPr>
        <w:lastRenderedPageBreak/>
        <w:t>3</w:t>
      </w:r>
      <w:r w:rsidRPr="0085310C">
        <w:rPr>
          <w:rFonts w:ascii="Arial" w:hAnsi="Arial" w:cs="Arial"/>
          <w:b/>
          <w:color w:val="000000"/>
          <w:spacing w:val="-3"/>
          <w:sz w:val="24"/>
          <w:u w:val="single"/>
          <w:lang w:val="es-AR"/>
        </w:rPr>
        <w:t xml:space="preserve">. ANÁLISIS DE RESULTADOS </w:t>
      </w:r>
      <w:r w:rsidR="00CB43B2">
        <w:rPr>
          <w:rFonts w:ascii="Arial" w:hAnsi="Arial" w:cs="Arial"/>
          <w:b/>
          <w:color w:val="000000"/>
          <w:spacing w:val="-3"/>
          <w:sz w:val="24"/>
          <w:u w:val="single"/>
          <w:lang w:val="es-AR"/>
        </w:rPr>
        <w:t xml:space="preserve">POR NEGOCIO DEL </w:t>
      </w:r>
      <w:r w:rsidR="00BC1699">
        <w:rPr>
          <w:rFonts w:ascii="Arial" w:hAnsi="Arial" w:cs="Arial"/>
          <w:b/>
          <w:color w:val="000000"/>
          <w:spacing w:val="-3"/>
          <w:sz w:val="24"/>
          <w:u w:val="single"/>
          <w:lang w:val="es-AR"/>
        </w:rPr>
        <w:t xml:space="preserve">SEGUNDO </w:t>
      </w:r>
      <w:r w:rsidR="00CB43B2">
        <w:rPr>
          <w:rFonts w:ascii="Arial" w:hAnsi="Arial" w:cs="Arial"/>
          <w:b/>
          <w:color w:val="000000"/>
          <w:spacing w:val="-3"/>
          <w:sz w:val="24"/>
          <w:u w:val="single"/>
          <w:lang w:val="es-AR"/>
        </w:rPr>
        <w:t>TRIMESTRE DE 2019</w:t>
      </w:r>
      <w:bookmarkEnd w:id="63"/>
      <w:r w:rsidRPr="0085310C">
        <w:rPr>
          <w:rFonts w:ascii="Arial" w:hAnsi="Arial" w:cs="Arial"/>
          <w:b/>
          <w:color w:val="000000"/>
          <w:spacing w:val="-3"/>
          <w:sz w:val="24"/>
          <w:u w:val="single"/>
          <w:lang w:val="es-AR"/>
        </w:rPr>
        <w:t xml:space="preserve"> </w:t>
      </w:r>
    </w:p>
    <w:p w14:paraId="52B5C3BF" w14:textId="77777777" w:rsidR="00C11695" w:rsidRPr="00961AA4" w:rsidRDefault="00C11695" w:rsidP="00C11695">
      <w:pPr>
        <w:spacing w:after="0" w:line="240" w:lineRule="auto"/>
        <w:rPr>
          <w:rFonts w:ascii="Arial" w:hAnsi="Arial" w:cs="Arial"/>
          <w:b/>
          <w:color w:val="000000"/>
          <w:spacing w:val="-3"/>
          <w:sz w:val="10"/>
          <w:u w:val="single"/>
          <w:lang w:val="es-AR"/>
        </w:rPr>
      </w:pPr>
    </w:p>
    <w:p w14:paraId="12FEE2CB" w14:textId="0E57F08A" w:rsidR="007241F2" w:rsidRDefault="002402CF" w:rsidP="00711BF0">
      <w:pPr>
        <w:pStyle w:val="Heading2"/>
        <w:rPr>
          <w:rFonts w:cs="Arial"/>
          <w:color w:val="000000"/>
          <w:spacing w:val="-3"/>
          <w:sz w:val="24"/>
          <w:lang w:val="es-AR"/>
        </w:rPr>
      </w:pPr>
      <w:r>
        <w:rPr>
          <w:rFonts w:cs="Arial"/>
          <w:color w:val="000000"/>
          <w:spacing w:val="-3"/>
          <w:sz w:val="24"/>
          <w:lang w:val="es-AR"/>
        </w:rPr>
        <w:t>3</w:t>
      </w:r>
      <w:r w:rsidRPr="00431458">
        <w:rPr>
          <w:rFonts w:cs="Arial"/>
          <w:color w:val="000000"/>
          <w:spacing w:val="-3"/>
          <w:sz w:val="24"/>
          <w:lang w:val="es-AR"/>
        </w:rPr>
        <w:t>.1 UPSTREAM</w:t>
      </w:r>
    </w:p>
    <w:p w14:paraId="6C715FB3" w14:textId="7C3CB22A" w:rsidR="00B72203" w:rsidRPr="00B72203" w:rsidRDefault="00B72203" w:rsidP="003754FD">
      <w:pPr>
        <w:spacing w:after="0" w:line="240" w:lineRule="auto"/>
        <w:rPr>
          <w:rFonts w:ascii="Arial" w:hAnsi="Arial" w:cs="Arial"/>
          <w:b/>
          <w:bCs/>
          <w:noProof/>
          <w:spacing w:val="-3"/>
          <w:sz w:val="14"/>
          <w:szCs w:val="14"/>
          <w:lang w:val="es-AR"/>
        </w:rPr>
      </w:pPr>
    </w:p>
    <w:p w14:paraId="0DDA47F5" w14:textId="5B559324" w:rsidR="00535BFB" w:rsidRPr="0058416B" w:rsidRDefault="004F0D68" w:rsidP="00F71248">
      <w:pPr>
        <w:spacing w:after="0"/>
        <w:jc w:val="both"/>
        <w:rPr>
          <w:lang w:val="es-AR"/>
        </w:rPr>
      </w:pPr>
      <w:r w:rsidRPr="004F0D68">
        <w:rPr>
          <w:noProof/>
        </w:rPr>
        <w:drawing>
          <wp:inline distT="0" distB="0" distL="0" distR="0" wp14:anchorId="25DD87E2" wp14:editId="2669D4C5">
            <wp:extent cx="6570980" cy="4532673"/>
            <wp:effectExtent l="0" t="0" r="1270" b="127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0980" cy="4532673"/>
                    </a:xfrm>
                    <a:prstGeom prst="rect">
                      <a:avLst/>
                    </a:prstGeom>
                    <a:noFill/>
                    <a:ln>
                      <a:noFill/>
                    </a:ln>
                  </pic:spPr>
                </pic:pic>
              </a:graphicData>
            </a:graphic>
          </wp:inline>
        </w:drawing>
      </w:r>
    </w:p>
    <w:p w14:paraId="24D501CD" w14:textId="2E4AE510" w:rsidR="00535BFB" w:rsidRPr="007D0029" w:rsidRDefault="00535BFB" w:rsidP="0089537A">
      <w:pPr>
        <w:spacing w:after="0"/>
        <w:ind w:left="1418"/>
        <w:jc w:val="both"/>
        <w:rPr>
          <w:sz w:val="12"/>
          <w:szCs w:val="12"/>
          <w:lang w:val="es-AR"/>
        </w:rPr>
      </w:pPr>
    </w:p>
    <w:p w14:paraId="71865552" w14:textId="6411560E" w:rsidR="00B319A2" w:rsidRDefault="00B319A2" w:rsidP="001F41DE">
      <w:pPr>
        <w:spacing w:after="0"/>
        <w:jc w:val="both"/>
        <w:rPr>
          <w:lang w:val="es-AR"/>
        </w:rPr>
      </w:pPr>
      <w:r w:rsidRPr="00512459">
        <w:rPr>
          <w:rFonts w:ascii="Arial" w:eastAsia="Times New Roman" w:hAnsi="Arial" w:cs="Arial"/>
          <w:sz w:val="14"/>
          <w:szCs w:val="18"/>
          <w:lang w:val="es-AR" w:eastAsia="es-AR"/>
        </w:rPr>
        <w:t xml:space="preserve">(*) El precio </w:t>
      </w:r>
      <w:r>
        <w:rPr>
          <w:rFonts w:ascii="Arial" w:eastAsia="Times New Roman" w:hAnsi="Arial" w:cs="Arial"/>
          <w:sz w:val="14"/>
          <w:szCs w:val="18"/>
          <w:lang w:val="es-AR" w:eastAsia="es-AR"/>
        </w:rPr>
        <w:t>promedio del crudo ha sido recalculado.</w:t>
      </w:r>
    </w:p>
    <w:p w14:paraId="7B49EDBA" w14:textId="5921F219" w:rsidR="008318CF" w:rsidRDefault="00185D4A" w:rsidP="001F41DE">
      <w:pPr>
        <w:spacing w:after="0"/>
        <w:jc w:val="both"/>
        <w:rPr>
          <w:rFonts w:ascii="Arial" w:eastAsia="Times New Roman" w:hAnsi="Arial" w:cs="Arial"/>
          <w:sz w:val="14"/>
          <w:szCs w:val="18"/>
          <w:lang w:val="es-AR" w:eastAsia="es-AR"/>
        </w:rPr>
      </w:pPr>
      <w:r w:rsidRPr="00512459">
        <w:rPr>
          <w:rFonts w:ascii="Arial" w:eastAsia="Times New Roman" w:hAnsi="Arial" w:cs="Arial"/>
          <w:sz w:val="14"/>
          <w:szCs w:val="18"/>
          <w:lang w:val="es-AR" w:eastAsia="es-AR"/>
        </w:rPr>
        <w:t>(*</w:t>
      </w:r>
      <w:r w:rsidR="0091781A">
        <w:rPr>
          <w:rFonts w:ascii="Arial" w:eastAsia="Times New Roman" w:hAnsi="Arial" w:cs="Arial"/>
          <w:sz w:val="14"/>
          <w:szCs w:val="18"/>
          <w:lang w:val="es-AR" w:eastAsia="es-AR"/>
        </w:rPr>
        <w:t>*</w:t>
      </w:r>
      <w:r w:rsidRPr="00512459">
        <w:rPr>
          <w:rFonts w:ascii="Arial" w:eastAsia="Times New Roman" w:hAnsi="Arial" w:cs="Arial"/>
          <w:sz w:val="14"/>
          <w:szCs w:val="18"/>
          <w:lang w:val="es-AR" w:eastAsia="es-AR"/>
        </w:rPr>
        <w:t xml:space="preserve">) El precio </w:t>
      </w:r>
      <w:r w:rsidR="005A0632" w:rsidRPr="00512459">
        <w:rPr>
          <w:rFonts w:ascii="Arial" w:eastAsia="Times New Roman" w:hAnsi="Arial" w:cs="Arial"/>
          <w:sz w:val="14"/>
          <w:szCs w:val="18"/>
          <w:lang w:val="es-AR" w:eastAsia="es-AR"/>
        </w:rPr>
        <w:t xml:space="preserve">promedio del gas </w:t>
      </w:r>
      <w:r w:rsidRPr="00512459">
        <w:rPr>
          <w:rFonts w:ascii="Arial" w:eastAsia="Times New Roman" w:hAnsi="Arial" w:cs="Arial"/>
          <w:sz w:val="14"/>
          <w:szCs w:val="18"/>
          <w:lang w:val="es-AR" w:eastAsia="es-AR"/>
        </w:rPr>
        <w:t>ha sido recalculado</w:t>
      </w:r>
      <w:r w:rsidR="005A0632" w:rsidRPr="00512459">
        <w:rPr>
          <w:rFonts w:ascii="Arial" w:eastAsia="Times New Roman" w:hAnsi="Arial" w:cs="Arial"/>
          <w:sz w:val="14"/>
          <w:szCs w:val="18"/>
          <w:lang w:val="es-AR" w:eastAsia="es-AR"/>
        </w:rPr>
        <w:t xml:space="preserve"> debido al cambio en el devengamiento del Plan Gas y a los ajustes por facturación definitiva.</w:t>
      </w:r>
    </w:p>
    <w:p w14:paraId="3325392C" w14:textId="77777777" w:rsidR="00B319A2" w:rsidRPr="001F41DE" w:rsidRDefault="00B319A2" w:rsidP="001F41DE">
      <w:pPr>
        <w:spacing w:after="0"/>
        <w:jc w:val="both"/>
        <w:rPr>
          <w:rFonts w:ascii="Arial" w:eastAsia="Times New Roman" w:hAnsi="Arial" w:cs="Arial"/>
          <w:sz w:val="14"/>
          <w:szCs w:val="18"/>
          <w:lang w:val="es-AR" w:eastAsia="es-AR"/>
        </w:rPr>
      </w:pPr>
    </w:p>
    <w:p w14:paraId="6FBB0A3B" w14:textId="77777777" w:rsidR="00E76AE2" w:rsidRDefault="00E76AE2" w:rsidP="003D53EF">
      <w:pPr>
        <w:spacing w:after="0"/>
        <w:jc w:val="both"/>
        <w:rPr>
          <w:rFonts w:ascii="Arial" w:hAnsi="Arial" w:cs="Arial"/>
          <w:b/>
          <w:color w:val="000000"/>
          <w:spacing w:val="-3"/>
          <w:lang w:val="es-AR"/>
        </w:rPr>
      </w:pPr>
    </w:p>
    <w:p w14:paraId="1E008D72" w14:textId="4A460D08" w:rsidR="00E44D43" w:rsidRPr="00040408" w:rsidRDefault="00E44D43" w:rsidP="00485C1E">
      <w:pPr>
        <w:spacing w:line="288" w:lineRule="auto"/>
        <w:jc w:val="both"/>
        <w:rPr>
          <w:rFonts w:ascii="Arial" w:hAnsi="Arial" w:cs="Arial"/>
          <w:spacing w:val="-3"/>
          <w:lang w:val="es-AR"/>
        </w:rPr>
      </w:pPr>
      <w:r w:rsidRPr="009B4493">
        <w:rPr>
          <w:rFonts w:ascii="Arial" w:hAnsi="Arial" w:cs="Arial"/>
          <w:spacing w:val="-3"/>
          <w:lang w:val="es-AR"/>
        </w:rPr>
        <w:t xml:space="preserve">El resultado operativo del </w:t>
      </w:r>
      <w:proofErr w:type="spellStart"/>
      <w:r w:rsidRPr="005C1887">
        <w:rPr>
          <w:rFonts w:ascii="Arial" w:hAnsi="Arial" w:cs="Arial"/>
          <w:spacing w:val="-3"/>
          <w:lang w:val="es-AR"/>
        </w:rPr>
        <w:t>Upstream</w:t>
      </w:r>
      <w:proofErr w:type="spellEnd"/>
      <w:r w:rsidRPr="005C1887">
        <w:rPr>
          <w:rFonts w:ascii="Arial" w:hAnsi="Arial" w:cs="Arial"/>
          <w:spacing w:val="-3"/>
          <w:lang w:val="es-AR"/>
        </w:rPr>
        <w:t xml:space="preserve"> del </w:t>
      </w:r>
      <w:r w:rsidR="00946D66">
        <w:rPr>
          <w:rFonts w:ascii="Arial" w:hAnsi="Arial" w:cs="Arial"/>
          <w:spacing w:val="-3"/>
          <w:lang w:val="es-AR"/>
        </w:rPr>
        <w:t xml:space="preserve">segundo </w:t>
      </w:r>
      <w:r w:rsidRPr="005C1887">
        <w:rPr>
          <w:rFonts w:ascii="Arial" w:hAnsi="Arial" w:cs="Arial"/>
          <w:spacing w:val="-3"/>
          <w:lang w:val="es-AR"/>
        </w:rPr>
        <w:t>trimestre 201</w:t>
      </w:r>
      <w:r w:rsidR="00FA0241" w:rsidRPr="005C1887">
        <w:rPr>
          <w:rFonts w:ascii="Arial" w:hAnsi="Arial" w:cs="Arial"/>
          <w:spacing w:val="-3"/>
          <w:lang w:val="es-AR"/>
        </w:rPr>
        <w:t>9</w:t>
      </w:r>
      <w:r w:rsidR="002F7BCC">
        <w:rPr>
          <w:rFonts w:ascii="Arial" w:hAnsi="Arial" w:cs="Arial"/>
          <w:spacing w:val="-3"/>
          <w:lang w:val="es-AR"/>
        </w:rPr>
        <w:t xml:space="preserve"> </w:t>
      </w:r>
      <w:r w:rsidR="00DD2E41">
        <w:rPr>
          <w:rFonts w:ascii="Arial" w:hAnsi="Arial" w:cs="Arial"/>
          <w:spacing w:val="-3"/>
          <w:lang w:val="es-AR"/>
        </w:rPr>
        <w:t>totalizó una ganancia</w:t>
      </w:r>
      <w:r w:rsidR="003754FD" w:rsidRPr="005C1887">
        <w:rPr>
          <w:rFonts w:ascii="Arial" w:hAnsi="Arial" w:cs="Arial"/>
          <w:spacing w:val="-3"/>
          <w:lang w:val="es-AR"/>
        </w:rPr>
        <w:t xml:space="preserve"> </w:t>
      </w:r>
      <w:r w:rsidRPr="005C1887">
        <w:rPr>
          <w:rFonts w:ascii="Arial" w:hAnsi="Arial" w:cs="Arial"/>
          <w:spacing w:val="-3"/>
          <w:lang w:val="es-AR"/>
        </w:rPr>
        <w:t xml:space="preserve">de </w:t>
      </w:r>
      <w:proofErr w:type="spellStart"/>
      <w:r w:rsidRPr="005C1887">
        <w:rPr>
          <w:rFonts w:ascii="Arial" w:hAnsi="Arial" w:cs="Arial"/>
          <w:spacing w:val="-3"/>
          <w:lang w:val="es-AR"/>
        </w:rPr>
        <w:t>Ps</w:t>
      </w:r>
      <w:proofErr w:type="spellEnd"/>
      <w:r w:rsidRPr="005C1887">
        <w:rPr>
          <w:rFonts w:ascii="Arial" w:hAnsi="Arial" w:cs="Arial"/>
          <w:spacing w:val="-3"/>
          <w:lang w:val="es-AR"/>
        </w:rPr>
        <w:t xml:space="preserve"> </w:t>
      </w:r>
      <w:r w:rsidR="00DD2E41">
        <w:rPr>
          <w:rFonts w:ascii="Arial" w:hAnsi="Arial" w:cs="Arial"/>
          <w:spacing w:val="-3"/>
          <w:lang w:val="es-AR"/>
        </w:rPr>
        <w:t>4,2</w:t>
      </w:r>
      <w:r w:rsidR="00EF7EF4" w:rsidRPr="005C1887">
        <w:rPr>
          <w:rFonts w:ascii="Arial" w:hAnsi="Arial" w:cs="Arial"/>
          <w:spacing w:val="-3"/>
          <w:lang w:val="es-AR"/>
        </w:rPr>
        <w:t xml:space="preserve"> </w:t>
      </w:r>
      <w:r w:rsidRPr="005C1887">
        <w:rPr>
          <w:rFonts w:ascii="Arial" w:hAnsi="Arial" w:cs="Arial"/>
          <w:spacing w:val="-3"/>
          <w:lang w:val="es-AR"/>
        </w:rPr>
        <w:t>MM, en comparación</w:t>
      </w:r>
      <w:r w:rsidR="003754FD" w:rsidRPr="005C1887">
        <w:rPr>
          <w:rFonts w:ascii="Arial" w:hAnsi="Arial" w:cs="Arial"/>
          <w:spacing w:val="-3"/>
          <w:lang w:val="es-AR"/>
        </w:rPr>
        <w:t xml:space="preserve"> con la ganancia</w:t>
      </w:r>
      <w:r w:rsidR="00630813" w:rsidRPr="005C1887">
        <w:rPr>
          <w:rFonts w:ascii="Arial" w:hAnsi="Arial" w:cs="Arial"/>
          <w:spacing w:val="-3"/>
          <w:lang w:val="es-AR"/>
        </w:rPr>
        <w:t xml:space="preserve"> </w:t>
      </w:r>
      <w:r w:rsidRPr="005C1887">
        <w:rPr>
          <w:rFonts w:ascii="Arial" w:hAnsi="Arial" w:cs="Arial"/>
          <w:spacing w:val="-3"/>
          <w:lang w:val="es-AR"/>
        </w:rPr>
        <w:t xml:space="preserve">de </w:t>
      </w:r>
      <w:proofErr w:type="spellStart"/>
      <w:r w:rsidRPr="005C1887">
        <w:rPr>
          <w:rFonts w:ascii="Arial" w:hAnsi="Arial" w:cs="Arial"/>
          <w:spacing w:val="-3"/>
          <w:lang w:val="es-AR"/>
        </w:rPr>
        <w:t>Ps</w:t>
      </w:r>
      <w:proofErr w:type="spellEnd"/>
      <w:r w:rsidRPr="005C1887">
        <w:rPr>
          <w:rFonts w:ascii="Arial" w:hAnsi="Arial" w:cs="Arial"/>
          <w:spacing w:val="-3"/>
          <w:lang w:val="es-AR"/>
        </w:rPr>
        <w:t xml:space="preserve"> </w:t>
      </w:r>
      <w:r w:rsidR="00DD2E41">
        <w:rPr>
          <w:rFonts w:ascii="Arial" w:hAnsi="Arial" w:cs="Arial"/>
          <w:spacing w:val="-3"/>
          <w:lang w:val="es-AR"/>
        </w:rPr>
        <w:t>2,9</w:t>
      </w:r>
      <w:r w:rsidR="003754FD" w:rsidRPr="005C1887">
        <w:rPr>
          <w:rFonts w:ascii="Arial" w:hAnsi="Arial" w:cs="Arial"/>
          <w:spacing w:val="-3"/>
          <w:lang w:val="es-AR"/>
        </w:rPr>
        <w:t xml:space="preserve"> </w:t>
      </w:r>
      <w:r w:rsidRPr="005C1887">
        <w:rPr>
          <w:rFonts w:ascii="Arial" w:hAnsi="Arial" w:cs="Arial"/>
          <w:spacing w:val="-3"/>
          <w:lang w:val="es-AR"/>
        </w:rPr>
        <w:t xml:space="preserve">MM del </w:t>
      </w:r>
      <w:r w:rsidR="00946D66">
        <w:rPr>
          <w:rFonts w:ascii="Arial" w:hAnsi="Arial" w:cs="Arial"/>
          <w:spacing w:val="-3"/>
          <w:lang w:val="es-AR"/>
        </w:rPr>
        <w:t>segundo</w:t>
      </w:r>
      <w:r w:rsidR="00FA0241" w:rsidRPr="005C1887">
        <w:rPr>
          <w:rFonts w:ascii="Arial" w:hAnsi="Arial" w:cs="Arial"/>
          <w:spacing w:val="-3"/>
          <w:lang w:val="es-AR"/>
        </w:rPr>
        <w:t xml:space="preserve"> </w:t>
      </w:r>
      <w:r w:rsidRPr="005C1887">
        <w:rPr>
          <w:rFonts w:ascii="Arial" w:hAnsi="Arial" w:cs="Arial"/>
          <w:spacing w:val="-3"/>
          <w:lang w:val="es-AR"/>
        </w:rPr>
        <w:t>trimestre 201</w:t>
      </w:r>
      <w:r w:rsidR="00FA0241" w:rsidRPr="005C1887">
        <w:rPr>
          <w:rFonts w:ascii="Arial" w:hAnsi="Arial" w:cs="Arial"/>
          <w:spacing w:val="-3"/>
          <w:lang w:val="es-AR"/>
        </w:rPr>
        <w:t>8</w:t>
      </w:r>
      <w:r w:rsidRPr="005C1887">
        <w:rPr>
          <w:rFonts w:ascii="Arial" w:hAnsi="Arial" w:cs="Arial"/>
          <w:spacing w:val="-3"/>
          <w:lang w:val="es-AR"/>
        </w:rPr>
        <w:t xml:space="preserve">. </w:t>
      </w:r>
    </w:p>
    <w:p w14:paraId="7DBA59CB" w14:textId="368867B6" w:rsidR="008E439A" w:rsidRDefault="001D5FEE" w:rsidP="00485C1E">
      <w:pPr>
        <w:spacing w:line="288" w:lineRule="auto"/>
        <w:jc w:val="both"/>
        <w:rPr>
          <w:rFonts w:ascii="Arial" w:hAnsi="Arial" w:cs="Arial"/>
          <w:spacing w:val="-3"/>
          <w:lang w:val="es-AR"/>
        </w:rPr>
      </w:pPr>
      <w:r w:rsidRPr="00040408">
        <w:rPr>
          <w:rFonts w:ascii="Arial" w:hAnsi="Arial" w:cs="Arial"/>
          <w:spacing w:val="-3"/>
          <w:lang w:val="es-AR"/>
        </w:rPr>
        <w:t xml:space="preserve">En el </w:t>
      </w:r>
      <w:r w:rsidR="00946D66">
        <w:rPr>
          <w:rFonts w:ascii="Arial" w:hAnsi="Arial" w:cs="Arial"/>
          <w:spacing w:val="-3"/>
          <w:lang w:val="es-AR"/>
        </w:rPr>
        <w:t>segundo</w:t>
      </w:r>
      <w:r w:rsidRPr="00040408">
        <w:rPr>
          <w:rFonts w:ascii="Arial" w:hAnsi="Arial" w:cs="Arial"/>
          <w:spacing w:val="-3"/>
          <w:lang w:val="es-AR"/>
        </w:rPr>
        <w:t xml:space="preserve"> trimestre de 201</w:t>
      </w:r>
      <w:r w:rsidR="008222FB">
        <w:rPr>
          <w:rFonts w:ascii="Arial" w:hAnsi="Arial" w:cs="Arial"/>
          <w:spacing w:val="-3"/>
          <w:lang w:val="es-AR"/>
        </w:rPr>
        <w:t>9</w:t>
      </w:r>
      <w:r w:rsidRPr="00040408">
        <w:rPr>
          <w:rFonts w:ascii="Arial" w:hAnsi="Arial" w:cs="Arial"/>
          <w:spacing w:val="-3"/>
          <w:lang w:val="es-AR"/>
        </w:rPr>
        <w:t xml:space="preserve">, las ventas del segmento crecieron un </w:t>
      </w:r>
      <w:r w:rsidR="00DD2E41">
        <w:rPr>
          <w:rFonts w:ascii="Arial" w:hAnsi="Arial" w:cs="Arial"/>
          <w:spacing w:val="-3"/>
          <w:lang w:val="es-AR"/>
        </w:rPr>
        <w:t>59,9</w:t>
      </w:r>
      <w:r w:rsidRPr="00040408">
        <w:rPr>
          <w:rFonts w:ascii="Arial" w:hAnsi="Arial" w:cs="Arial"/>
          <w:spacing w:val="-3"/>
          <w:lang w:val="es-AR"/>
        </w:rPr>
        <w:t xml:space="preserve">% </w:t>
      </w:r>
      <w:proofErr w:type="gramStart"/>
      <w:r w:rsidRPr="00040408">
        <w:rPr>
          <w:rFonts w:ascii="Arial" w:hAnsi="Arial" w:cs="Arial"/>
          <w:spacing w:val="-3"/>
          <w:lang w:val="es-AR"/>
        </w:rPr>
        <w:t>en relación al</w:t>
      </w:r>
      <w:proofErr w:type="gramEnd"/>
      <w:r w:rsidRPr="00040408">
        <w:rPr>
          <w:rFonts w:ascii="Arial" w:hAnsi="Arial" w:cs="Arial"/>
          <w:spacing w:val="-3"/>
          <w:lang w:val="es-AR"/>
        </w:rPr>
        <w:t xml:space="preserve"> mismo periodo de 201</w:t>
      </w:r>
      <w:r w:rsidR="00DD2E41">
        <w:rPr>
          <w:rFonts w:ascii="Arial" w:hAnsi="Arial" w:cs="Arial"/>
          <w:spacing w:val="-3"/>
          <w:lang w:val="es-AR"/>
        </w:rPr>
        <w:t xml:space="preserve">8, totalizando </w:t>
      </w:r>
      <w:proofErr w:type="spellStart"/>
      <w:r w:rsidR="00DD2E41">
        <w:rPr>
          <w:rFonts w:ascii="Arial" w:hAnsi="Arial" w:cs="Arial"/>
          <w:spacing w:val="-3"/>
          <w:lang w:val="es-AR"/>
        </w:rPr>
        <w:t>Ps</w:t>
      </w:r>
      <w:proofErr w:type="spellEnd"/>
      <w:r w:rsidR="00DD2E41">
        <w:rPr>
          <w:rFonts w:ascii="Arial" w:hAnsi="Arial" w:cs="Arial"/>
          <w:spacing w:val="-3"/>
          <w:lang w:val="es-AR"/>
        </w:rPr>
        <w:t xml:space="preserve"> 74,1</w:t>
      </w:r>
      <w:r w:rsidR="006C487A" w:rsidRPr="00040408">
        <w:rPr>
          <w:rFonts w:ascii="Arial" w:hAnsi="Arial" w:cs="Arial"/>
          <w:spacing w:val="-3"/>
          <w:lang w:val="es-AR"/>
        </w:rPr>
        <w:t xml:space="preserve"> MM</w:t>
      </w:r>
      <w:r w:rsidRPr="00040408">
        <w:rPr>
          <w:rFonts w:ascii="Arial" w:hAnsi="Arial" w:cs="Arial"/>
          <w:spacing w:val="-3"/>
          <w:lang w:val="es-AR"/>
        </w:rPr>
        <w:t>. Est</w:t>
      </w:r>
      <w:r w:rsidR="00560FFD" w:rsidRPr="00040408">
        <w:rPr>
          <w:rFonts w:ascii="Arial" w:hAnsi="Arial" w:cs="Arial"/>
          <w:spacing w:val="-3"/>
          <w:lang w:val="es-AR"/>
        </w:rPr>
        <w:t xml:space="preserve">e incremento se produce como resultado de </w:t>
      </w:r>
      <w:r w:rsidRPr="00040408">
        <w:rPr>
          <w:rFonts w:ascii="Arial" w:hAnsi="Arial" w:cs="Arial"/>
          <w:spacing w:val="-3"/>
          <w:lang w:val="es-AR"/>
        </w:rPr>
        <w:t>los siguientes factores:</w:t>
      </w:r>
    </w:p>
    <w:p w14:paraId="76EE63F8" w14:textId="3B140C1D" w:rsidR="005952B1" w:rsidRPr="007137F0" w:rsidRDefault="008E439A" w:rsidP="007137F0">
      <w:pPr>
        <w:numPr>
          <w:ilvl w:val="0"/>
          <w:numId w:val="5"/>
        </w:numPr>
        <w:spacing w:after="120" w:line="288" w:lineRule="auto"/>
        <w:ind w:left="993" w:hanging="284"/>
        <w:jc w:val="both"/>
        <w:rPr>
          <w:rFonts w:ascii="Arial" w:hAnsi="Arial" w:cs="Arial"/>
          <w:w w:val="0"/>
          <w:lang w:val="es-AR"/>
        </w:rPr>
      </w:pPr>
      <w:r w:rsidRPr="00E13A58">
        <w:rPr>
          <w:rFonts w:ascii="Arial" w:hAnsi="Arial" w:cs="Arial"/>
          <w:w w:val="0"/>
          <w:lang w:val="es-AR"/>
        </w:rPr>
        <w:t xml:space="preserve">Las ventas </w:t>
      </w:r>
      <w:r w:rsidR="00E13A58">
        <w:rPr>
          <w:rFonts w:ascii="Arial" w:hAnsi="Arial" w:cs="Arial"/>
          <w:w w:val="0"/>
          <w:lang w:val="es-AR"/>
        </w:rPr>
        <w:t xml:space="preserve">de petróleo totalizaron </w:t>
      </w:r>
      <w:proofErr w:type="spellStart"/>
      <w:r w:rsidR="00E13A58">
        <w:rPr>
          <w:rFonts w:ascii="Arial" w:hAnsi="Arial" w:cs="Arial"/>
          <w:w w:val="0"/>
          <w:lang w:val="es-AR"/>
        </w:rPr>
        <w:t>Ps</w:t>
      </w:r>
      <w:proofErr w:type="spellEnd"/>
      <w:r w:rsidR="00E13A58">
        <w:rPr>
          <w:rFonts w:ascii="Arial" w:hAnsi="Arial" w:cs="Arial"/>
          <w:w w:val="0"/>
          <w:lang w:val="es-AR"/>
        </w:rPr>
        <w:t xml:space="preserve"> </w:t>
      </w:r>
      <w:r w:rsidR="00E12F2E">
        <w:rPr>
          <w:rFonts w:ascii="Arial" w:hAnsi="Arial" w:cs="Arial"/>
          <w:w w:val="0"/>
          <w:lang w:val="es-AR"/>
        </w:rPr>
        <w:t>53,7</w:t>
      </w:r>
      <w:r w:rsidR="003754FD" w:rsidRPr="00E13A58">
        <w:rPr>
          <w:rFonts w:ascii="Arial" w:hAnsi="Arial" w:cs="Arial"/>
          <w:w w:val="0"/>
          <w:lang w:val="es-AR"/>
        </w:rPr>
        <w:t xml:space="preserve"> MM, siendo superiores en </w:t>
      </w:r>
      <w:proofErr w:type="spellStart"/>
      <w:r w:rsidR="003754FD" w:rsidRPr="00E13A58">
        <w:rPr>
          <w:rFonts w:ascii="Arial" w:hAnsi="Arial" w:cs="Arial"/>
          <w:w w:val="0"/>
          <w:lang w:val="es-AR"/>
        </w:rPr>
        <w:t>P</w:t>
      </w:r>
      <w:r w:rsidR="00E13A58">
        <w:rPr>
          <w:rFonts w:ascii="Arial" w:hAnsi="Arial" w:cs="Arial"/>
          <w:w w:val="0"/>
          <w:lang w:val="es-AR"/>
        </w:rPr>
        <w:t>s</w:t>
      </w:r>
      <w:proofErr w:type="spellEnd"/>
      <w:r w:rsidR="00E13A58">
        <w:rPr>
          <w:rFonts w:ascii="Arial" w:hAnsi="Arial" w:cs="Arial"/>
          <w:w w:val="0"/>
          <w:lang w:val="es-AR"/>
        </w:rPr>
        <w:t xml:space="preserve"> </w:t>
      </w:r>
      <w:r w:rsidR="00E12F2E">
        <w:rPr>
          <w:rFonts w:ascii="Arial" w:hAnsi="Arial" w:cs="Arial"/>
          <w:w w:val="0"/>
          <w:lang w:val="es-AR"/>
        </w:rPr>
        <w:t>23,5</w:t>
      </w:r>
      <w:r w:rsidR="003754FD" w:rsidRPr="00E13A58">
        <w:rPr>
          <w:rFonts w:ascii="Arial" w:hAnsi="Arial" w:cs="Arial"/>
          <w:w w:val="0"/>
          <w:lang w:val="es-AR"/>
        </w:rPr>
        <w:t xml:space="preserve"> MM</w:t>
      </w:r>
      <w:r w:rsidR="00AF6191" w:rsidRPr="00E13A58">
        <w:rPr>
          <w:rFonts w:ascii="Arial" w:hAnsi="Arial" w:cs="Arial"/>
          <w:w w:val="0"/>
          <w:lang w:val="es-AR"/>
        </w:rPr>
        <w:t>,</w:t>
      </w:r>
      <w:r w:rsidR="00E13A58">
        <w:rPr>
          <w:rFonts w:ascii="Arial" w:hAnsi="Arial" w:cs="Arial"/>
          <w:w w:val="0"/>
          <w:lang w:val="es-AR"/>
        </w:rPr>
        <w:t xml:space="preserve"> o </w:t>
      </w:r>
      <w:r w:rsidR="00E12F2E">
        <w:rPr>
          <w:rFonts w:ascii="Arial" w:hAnsi="Arial" w:cs="Arial"/>
          <w:w w:val="0"/>
          <w:lang w:val="es-AR"/>
        </w:rPr>
        <w:t>77,8</w:t>
      </w:r>
      <w:r w:rsidRPr="00E13A58">
        <w:rPr>
          <w:rFonts w:ascii="Arial" w:hAnsi="Arial" w:cs="Arial"/>
          <w:w w:val="0"/>
          <w:lang w:val="es-AR"/>
        </w:rPr>
        <w:t>%</w:t>
      </w:r>
      <w:r w:rsidR="00AF6191" w:rsidRPr="00E13A58">
        <w:rPr>
          <w:rFonts w:ascii="Arial" w:hAnsi="Arial" w:cs="Arial"/>
          <w:w w:val="0"/>
          <w:lang w:val="es-AR"/>
        </w:rPr>
        <w:t>,</w:t>
      </w:r>
      <w:r w:rsidRPr="00E13A58">
        <w:rPr>
          <w:rFonts w:ascii="Arial" w:hAnsi="Arial" w:cs="Arial"/>
          <w:w w:val="0"/>
          <w:lang w:val="es-AR"/>
        </w:rPr>
        <w:t xml:space="preserve"> </w:t>
      </w:r>
      <w:r w:rsidR="00061D0F" w:rsidRPr="00E13A58">
        <w:rPr>
          <w:rFonts w:ascii="Arial" w:hAnsi="Arial" w:cs="Arial"/>
          <w:w w:val="0"/>
          <w:lang w:val="es-AR"/>
        </w:rPr>
        <w:t>a l</w:t>
      </w:r>
      <w:r w:rsidR="00E13A58">
        <w:rPr>
          <w:rFonts w:ascii="Arial" w:hAnsi="Arial" w:cs="Arial"/>
          <w:w w:val="0"/>
          <w:lang w:val="es-AR"/>
        </w:rPr>
        <w:t xml:space="preserve">os </w:t>
      </w:r>
      <w:proofErr w:type="spellStart"/>
      <w:r w:rsidR="00E13A58">
        <w:rPr>
          <w:rFonts w:ascii="Arial" w:hAnsi="Arial" w:cs="Arial"/>
          <w:w w:val="0"/>
          <w:lang w:val="es-AR"/>
        </w:rPr>
        <w:t>Ps</w:t>
      </w:r>
      <w:proofErr w:type="spellEnd"/>
      <w:r w:rsidR="00E13A58">
        <w:rPr>
          <w:rFonts w:ascii="Arial" w:hAnsi="Arial" w:cs="Arial"/>
          <w:w w:val="0"/>
          <w:lang w:val="es-AR"/>
        </w:rPr>
        <w:t xml:space="preserve"> 30,2</w:t>
      </w:r>
      <w:r w:rsidR="0012500B" w:rsidRPr="00E13A58">
        <w:rPr>
          <w:rFonts w:ascii="Arial" w:hAnsi="Arial" w:cs="Arial"/>
          <w:w w:val="0"/>
          <w:lang w:val="es-AR"/>
        </w:rPr>
        <w:t xml:space="preserve"> </w:t>
      </w:r>
      <w:r w:rsidR="00061D0F" w:rsidRPr="00E13A58">
        <w:rPr>
          <w:rFonts w:ascii="Arial" w:hAnsi="Arial" w:cs="Arial"/>
          <w:w w:val="0"/>
          <w:lang w:val="es-AR"/>
        </w:rPr>
        <w:t xml:space="preserve">MM del </w:t>
      </w:r>
      <w:r w:rsidR="0051264F" w:rsidRPr="00E13A58">
        <w:rPr>
          <w:rFonts w:ascii="Arial" w:hAnsi="Arial" w:cs="Arial"/>
          <w:w w:val="0"/>
          <w:lang w:val="es-AR"/>
        </w:rPr>
        <w:t>segundo</w:t>
      </w:r>
      <w:r w:rsidR="008222FB" w:rsidRPr="00E13A58">
        <w:rPr>
          <w:rFonts w:ascii="Arial" w:hAnsi="Arial" w:cs="Arial"/>
          <w:w w:val="0"/>
          <w:lang w:val="es-AR"/>
        </w:rPr>
        <w:t xml:space="preserve"> trimestre 2019</w:t>
      </w:r>
      <w:r w:rsidR="00725BDD">
        <w:rPr>
          <w:rFonts w:ascii="Arial" w:hAnsi="Arial" w:cs="Arial"/>
          <w:w w:val="0"/>
          <w:lang w:val="es-AR"/>
        </w:rPr>
        <w:t xml:space="preserve"> </w:t>
      </w:r>
      <w:r w:rsidR="00725BDD" w:rsidRPr="00563B11">
        <w:rPr>
          <w:rFonts w:ascii="Arial" w:hAnsi="Arial" w:cs="Arial"/>
          <w:w w:val="0"/>
          <w:lang w:val="es-AR"/>
        </w:rPr>
        <w:t xml:space="preserve">debido a que el precio </w:t>
      </w:r>
      <w:proofErr w:type="spellStart"/>
      <w:r w:rsidR="00725BDD" w:rsidRPr="00563B11">
        <w:rPr>
          <w:rFonts w:ascii="Arial" w:hAnsi="Arial" w:cs="Arial"/>
          <w:w w:val="0"/>
          <w:lang w:val="es-AR"/>
        </w:rPr>
        <w:t>intersegmento</w:t>
      </w:r>
      <w:proofErr w:type="spellEnd"/>
      <w:r w:rsidR="00725BDD" w:rsidRPr="00563B11">
        <w:rPr>
          <w:rFonts w:ascii="Arial" w:hAnsi="Arial" w:cs="Arial"/>
          <w:w w:val="0"/>
          <w:lang w:val="es-AR"/>
        </w:rPr>
        <w:t xml:space="preserve"> del petróleo aumentó aproximadamente un </w:t>
      </w:r>
      <w:r w:rsidR="00725BDD" w:rsidRPr="00563B11">
        <w:rPr>
          <w:rFonts w:ascii="Arial" w:hAnsi="Arial" w:cs="Arial"/>
          <w:lang w:val="es-AR"/>
        </w:rPr>
        <w:t>7</w:t>
      </w:r>
      <w:r w:rsidR="00363AB7">
        <w:rPr>
          <w:rFonts w:ascii="Arial" w:hAnsi="Arial" w:cs="Arial"/>
          <w:lang w:val="es-AR"/>
        </w:rPr>
        <w:t>1,7</w:t>
      </w:r>
      <w:r w:rsidR="00725BDD" w:rsidRPr="00563B11">
        <w:rPr>
          <w:rFonts w:ascii="Arial" w:hAnsi="Arial" w:cs="Arial"/>
          <w:w w:val="0"/>
          <w:lang w:val="es-AR"/>
        </w:rPr>
        <w:t>% medido en pesos</w:t>
      </w:r>
      <w:r w:rsidRPr="00E13A58">
        <w:rPr>
          <w:rFonts w:ascii="Arial" w:hAnsi="Arial" w:cs="Arial"/>
          <w:w w:val="0"/>
          <w:lang w:val="es-AR"/>
        </w:rPr>
        <w:t xml:space="preserve">. El precio de realización del crudo expresado en dólares en el </w:t>
      </w:r>
      <w:r w:rsidR="00A14637" w:rsidRPr="00E13A58">
        <w:rPr>
          <w:rFonts w:ascii="Arial" w:hAnsi="Arial" w:cs="Arial"/>
          <w:w w:val="0"/>
          <w:lang w:val="es-AR"/>
        </w:rPr>
        <w:t>segundo</w:t>
      </w:r>
      <w:r w:rsidR="008222FB" w:rsidRPr="00E13A58">
        <w:rPr>
          <w:rFonts w:ascii="Arial" w:hAnsi="Arial" w:cs="Arial"/>
          <w:w w:val="0"/>
          <w:lang w:val="es-AR"/>
        </w:rPr>
        <w:t xml:space="preserve"> trimestre 2019</w:t>
      </w:r>
      <w:r w:rsidR="003754FD" w:rsidRPr="00E13A58">
        <w:rPr>
          <w:rFonts w:ascii="Arial" w:hAnsi="Arial" w:cs="Arial"/>
          <w:w w:val="0"/>
          <w:lang w:val="es-AR"/>
        </w:rPr>
        <w:t xml:space="preserve"> disminuyó</w:t>
      </w:r>
      <w:r w:rsidR="00E13A58">
        <w:rPr>
          <w:rFonts w:ascii="Arial" w:hAnsi="Arial" w:cs="Arial"/>
          <w:w w:val="0"/>
          <w:lang w:val="es-AR"/>
        </w:rPr>
        <w:t xml:space="preserve"> un </w:t>
      </w:r>
      <w:r w:rsidR="004F0D68">
        <w:rPr>
          <w:rFonts w:ascii="Arial" w:hAnsi="Arial" w:cs="Arial"/>
          <w:w w:val="0"/>
          <w:lang w:val="es-AR"/>
        </w:rPr>
        <w:t>8,1</w:t>
      </w:r>
      <w:r w:rsidR="00E13A58">
        <w:rPr>
          <w:rFonts w:ascii="Arial" w:hAnsi="Arial" w:cs="Arial"/>
          <w:w w:val="0"/>
          <w:lang w:val="es-AR"/>
        </w:rPr>
        <w:t xml:space="preserve">% hasta los </w:t>
      </w:r>
      <w:r w:rsidR="004F0D68">
        <w:rPr>
          <w:rFonts w:ascii="Arial" w:hAnsi="Arial" w:cs="Arial"/>
          <w:w w:val="0"/>
          <w:lang w:val="es-AR"/>
        </w:rPr>
        <w:t>58,7</w:t>
      </w:r>
      <w:r w:rsidR="003D53A4" w:rsidRPr="00D97E57">
        <w:rPr>
          <w:rFonts w:ascii="Arial" w:hAnsi="Arial" w:cs="Arial"/>
          <w:w w:val="0"/>
          <w:lang w:val="es-AR"/>
        </w:rPr>
        <w:t xml:space="preserve"> </w:t>
      </w:r>
      <w:r w:rsidR="009E6669" w:rsidRPr="00D97E57">
        <w:rPr>
          <w:rFonts w:ascii="Arial" w:hAnsi="Arial" w:cs="Arial"/>
          <w:w w:val="0"/>
          <w:lang w:val="es-AR"/>
        </w:rPr>
        <w:t>U</w:t>
      </w:r>
      <w:r w:rsidRPr="00D97E57">
        <w:rPr>
          <w:rFonts w:ascii="Arial" w:hAnsi="Arial" w:cs="Arial"/>
          <w:w w:val="0"/>
          <w:lang w:val="es-AR"/>
        </w:rPr>
        <w:t>SD/</w:t>
      </w:r>
      <w:proofErr w:type="spellStart"/>
      <w:r w:rsidRPr="00D97E57">
        <w:rPr>
          <w:rFonts w:ascii="Arial" w:hAnsi="Arial" w:cs="Arial"/>
          <w:w w:val="0"/>
          <w:lang w:val="es-AR"/>
        </w:rPr>
        <w:t>bbl</w:t>
      </w:r>
      <w:proofErr w:type="spellEnd"/>
      <w:r w:rsidRPr="00D97E57">
        <w:rPr>
          <w:rFonts w:ascii="Arial" w:hAnsi="Arial" w:cs="Arial"/>
          <w:w w:val="0"/>
          <w:lang w:val="es-AR"/>
        </w:rPr>
        <w:t>.</w:t>
      </w:r>
      <w:r w:rsidRPr="00E13A58">
        <w:rPr>
          <w:rFonts w:ascii="Arial" w:hAnsi="Arial" w:cs="Arial"/>
          <w:w w:val="0"/>
          <w:lang w:val="es-AR"/>
        </w:rPr>
        <w:t xml:space="preserve"> Asimismo, el volumen de petróleo crudo transferi</w:t>
      </w:r>
      <w:r w:rsidR="00755313" w:rsidRPr="00E13A58">
        <w:rPr>
          <w:rFonts w:ascii="Arial" w:hAnsi="Arial" w:cs="Arial"/>
          <w:w w:val="0"/>
          <w:lang w:val="es-AR"/>
        </w:rPr>
        <w:t xml:space="preserve">do entre segmentos </w:t>
      </w:r>
      <w:r w:rsidR="00755313" w:rsidRPr="00725BDD">
        <w:rPr>
          <w:rFonts w:ascii="Arial" w:hAnsi="Arial" w:cs="Arial"/>
          <w:w w:val="0"/>
          <w:lang w:val="es-AR"/>
        </w:rPr>
        <w:t>disminuyó</w:t>
      </w:r>
      <w:r w:rsidR="003D53A4" w:rsidRPr="00725BDD">
        <w:rPr>
          <w:rFonts w:ascii="Arial" w:hAnsi="Arial" w:cs="Arial"/>
          <w:w w:val="0"/>
          <w:lang w:val="es-AR"/>
        </w:rPr>
        <w:t xml:space="preserve"> </w:t>
      </w:r>
      <w:r w:rsidR="00992A92" w:rsidRPr="00725BDD">
        <w:rPr>
          <w:rFonts w:ascii="Arial" w:hAnsi="Arial" w:cs="Arial"/>
          <w:w w:val="0"/>
          <w:lang w:val="es-AR"/>
        </w:rPr>
        <w:t>0,7</w:t>
      </w:r>
      <w:r w:rsidR="0092554C" w:rsidRPr="00725BDD">
        <w:rPr>
          <w:rFonts w:ascii="Arial" w:hAnsi="Arial" w:cs="Arial"/>
          <w:w w:val="0"/>
          <w:lang w:val="es-AR"/>
        </w:rPr>
        <w:t>%;</w:t>
      </w:r>
    </w:p>
    <w:p w14:paraId="6C1E7C01" w14:textId="5BA49F8C" w:rsidR="00755313" w:rsidRPr="007137F0" w:rsidRDefault="008E439A" w:rsidP="007137F0">
      <w:pPr>
        <w:numPr>
          <w:ilvl w:val="0"/>
          <w:numId w:val="5"/>
        </w:numPr>
        <w:spacing w:after="120" w:line="288" w:lineRule="auto"/>
        <w:ind w:left="993" w:hanging="284"/>
        <w:jc w:val="both"/>
        <w:rPr>
          <w:rFonts w:ascii="Arial" w:hAnsi="Arial" w:cs="Arial"/>
          <w:w w:val="0"/>
          <w:lang w:val="es-AR"/>
        </w:rPr>
      </w:pPr>
      <w:r w:rsidRPr="007137F0">
        <w:rPr>
          <w:rFonts w:ascii="Arial" w:hAnsi="Arial" w:cs="Arial"/>
          <w:w w:val="0"/>
          <w:lang w:val="es-AR"/>
        </w:rPr>
        <w:t xml:space="preserve">Las ventas </w:t>
      </w:r>
      <w:r w:rsidR="00D35981" w:rsidRPr="007137F0">
        <w:rPr>
          <w:rFonts w:ascii="Arial" w:hAnsi="Arial" w:cs="Arial"/>
          <w:w w:val="0"/>
          <w:lang w:val="es-AR"/>
        </w:rPr>
        <w:t xml:space="preserve">como productores </w:t>
      </w:r>
      <w:r w:rsidRPr="007137F0">
        <w:rPr>
          <w:rFonts w:ascii="Arial" w:hAnsi="Arial" w:cs="Arial"/>
          <w:w w:val="0"/>
          <w:lang w:val="es-AR"/>
        </w:rPr>
        <w:t>de g</w:t>
      </w:r>
      <w:r w:rsidR="009A6211" w:rsidRPr="007137F0">
        <w:rPr>
          <w:rFonts w:ascii="Arial" w:hAnsi="Arial" w:cs="Arial"/>
          <w:w w:val="0"/>
          <w:lang w:val="es-AR"/>
        </w:rPr>
        <w:t xml:space="preserve">as natural alcanzaron los </w:t>
      </w:r>
      <w:proofErr w:type="spellStart"/>
      <w:r w:rsidR="009A6211" w:rsidRPr="007137F0">
        <w:rPr>
          <w:rFonts w:ascii="Arial" w:hAnsi="Arial" w:cs="Arial"/>
          <w:w w:val="0"/>
          <w:lang w:val="es-AR"/>
        </w:rPr>
        <w:t>Ps</w:t>
      </w:r>
      <w:proofErr w:type="spellEnd"/>
      <w:r w:rsidR="009A6211" w:rsidRPr="007137F0">
        <w:rPr>
          <w:rFonts w:ascii="Arial" w:hAnsi="Arial" w:cs="Arial"/>
          <w:w w:val="0"/>
          <w:lang w:val="es-AR"/>
        </w:rPr>
        <w:t xml:space="preserve"> 22,1</w:t>
      </w:r>
      <w:r w:rsidR="008555E7" w:rsidRPr="007137F0">
        <w:rPr>
          <w:rFonts w:ascii="Arial" w:hAnsi="Arial" w:cs="Arial"/>
          <w:w w:val="0"/>
          <w:lang w:val="es-AR"/>
        </w:rPr>
        <w:t xml:space="preserve"> MM</w:t>
      </w:r>
      <w:r w:rsidRPr="007137F0">
        <w:rPr>
          <w:rFonts w:ascii="Arial" w:hAnsi="Arial" w:cs="Arial"/>
          <w:w w:val="0"/>
          <w:lang w:val="es-AR"/>
        </w:rPr>
        <w:t xml:space="preserve"> reflejando u</w:t>
      </w:r>
      <w:r w:rsidR="00725BDD" w:rsidRPr="007137F0">
        <w:rPr>
          <w:rFonts w:ascii="Arial" w:hAnsi="Arial" w:cs="Arial"/>
          <w:w w:val="0"/>
          <w:lang w:val="es-AR"/>
        </w:rPr>
        <w:t xml:space="preserve">n incremento de </w:t>
      </w:r>
      <w:proofErr w:type="spellStart"/>
      <w:r w:rsidR="00725BDD" w:rsidRPr="007137F0">
        <w:rPr>
          <w:rFonts w:ascii="Arial" w:hAnsi="Arial" w:cs="Arial"/>
          <w:w w:val="0"/>
          <w:lang w:val="es-AR"/>
        </w:rPr>
        <w:t>Ps</w:t>
      </w:r>
      <w:proofErr w:type="spellEnd"/>
      <w:r w:rsidR="00725BDD" w:rsidRPr="007137F0">
        <w:rPr>
          <w:rFonts w:ascii="Arial" w:hAnsi="Arial" w:cs="Arial"/>
          <w:w w:val="0"/>
          <w:lang w:val="es-AR"/>
        </w:rPr>
        <w:t xml:space="preserve"> 5,</w:t>
      </w:r>
      <w:r w:rsidR="005532F6" w:rsidRPr="007137F0">
        <w:rPr>
          <w:rFonts w:ascii="Arial" w:hAnsi="Arial" w:cs="Arial"/>
          <w:w w:val="0"/>
          <w:lang w:val="es-AR"/>
        </w:rPr>
        <w:t>7</w:t>
      </w:r>
      <w:r w:rsidR="00547356" w:rsidRPr="007137F0">
        <w:rPr>
          <w:rFonts w:ascii="Arial" w:hAnsi="Arial" w:cs="Arial"/>
          <w:w w:val="0"/>
          <w:lang w:val="es-AR"/>
        </w:rPr>
        <w:t xml:space="preserve"> MM o </w:t>
      </w:r>
      <w:r w:rsidR="009A6211" w:rsidRPr="007137F0">
        <w:rPr>
          <w:rFonts w:ascii="Arial" w:hAnsi="Arial" w:cs="Arial"/>
          <w:w w:val="0"/>
          <w:lang w:val="es-AR"/>
        </w:rPr>
        <w:t>35,2</w:t>
      </w:r>
      <w:r w:rsidRPr="007137F0">
        <w:rPr>
          <w:rFonts w:ascii="Arial" w:hAnsi="Arial" w:cs="Arial"/>
          <w:w w:val="0"/>
          <w:lang w:val="es-AR"/>
        </w:rPr>
        <w:t xml:space="preserve">% respecto a </w:t>
      </w:r>
      <w:r w:rsidR="00755313" w:rsidRPr="007137F0">
        <w:rPr>
          <w:rFonts w:ascii="Arial" w:hAnsi="Arial" w:cs="Arial"/>
          <w:w w:val="0"/>
          <w:lang w:val="es-AR"/>
        </w:rPr>
        <w:t xml:space="preserve">los </w:t>
      </w:r>
      <w:proofErr w:type="spellStart"/>
      <w:r w:rsidR="00755313" w:rsidRPr="007137F0">
        <w:rPr>
          <w:rFonts w:ascii="Arial" w:hAnsi="Arial" w:cs="Arial"/>
          <w:w w:val="0"/>
          <w:lang w:val="es-AR"/>
        </w:rPr>
        <w:t>Ps</w:t>
      </w:r>
      <w:proofErr w:type="spellEnd"/>
      <w:r w:rsidR="00755313" w:rsidRPr="007137F0">
        <w:rPr>
          <w:rFonts w:ascii="Arial" w:hAnsi="Arial" w:cs="Arial"/>
          <w:w w:val="0"/>
          <w:lang w:val="es-AR"/>
        </w:rPr>
        <w:t xml:space="preserve"> </w:t>
      </w:r>
      <w:r w:rsidR="009A6211" w:rsidRPr="007137F0">
        <w:rPr>
          <w:rFonts w:ascii="Arial" w:hAnsi="Arial" w:cs="Arial"/>
          <w:w w:val="0"/>
          <w:lang w:val="es-AR"/>
        </w:rPr>
        <w:t>16,4</w:t>
      </w:r>
      <w:r w:rsidR="008555E7" w:rsidRPr="007137F0">
        <w:rPr>
          <w:rFonts w:ascii="Arial" w:hAnsi="Arial" w:cs="Arial"/>
          <w:w w:val="0"/>
          <w:lang w:val="es-AR"/>
        </w:rPr>
        <w:t xml:space="preserve"> MM</w:t>
      </w:r>
      <w:r w:rsidRPr="007137F0">
        <w:rPr>
          <w:rFonts w:ascii="Arial" w:hAnsi="Arial" w:cs="Arial"/>
          <w:w w:val="0"/>
          <w:lang w:val="es-AR"/>
        </w:rPr>
        <w:t xml:space="preserve"> del </w:t>
      </w:r>
      <w:r w:rsidR="00A14637" w:rsidRPr="007137F0">
        <w:rPr>
          <w:rFonts w:ascii="Arial" w:hAnsi="Arial" w:cs="Arial"/>
          <w:w w:val="0"/>
          <w:lang w:val="es-AR"/>
        </w:rPr>
        <w:t xml:space="preserve">segundo </w:t>
      </w:r>
      <w:r w:rsidR="008222FB" w:rsidRPr="007137F0">
        <w:rPr>
          <w:rFonts w:ascii="Arial" w:hAnsi="Arial" w:cs="Arial"/>
          <w:w w:val="0"/>
          <w:lang w:val="es-AR"/>
        </w:rPr>
        <w:t>trimestre 2018</w:t>
      </w:r>
      <w:r w:rsidRPr="007137F0">
        <w:rPr>
          <w:rFonts w:ascii="Arial" w:hAnsi="Arial" w:cs="Arial"/>
          <w:w w:val="0"/>
          <w:lang w:val="es-AR"/>
        </w:rPr>
        <w:t xml:space="preserve"> </w:t>
      </w:r>
      <w:r w:rsidR="00A03E82" w:rsidRPr="007137F0">
        <w:rPr>
          <w:rFonts w:ascii="Arial" w:hAnsi="Arial" w:cs="Arial"/>
          <w:w w:val="0"/>
          <w:lang w:val="es-AR"/>
        </w:rPr>
        <w:t xml:space="preserve">como </w:t>
      </w:r>
      <w:r w:rsidR="00A03E82" w:rsidRPr="007137F0">
        <w:rPr>
          <w:rFonts w:ascii="Arial" w:hAnsi="Arial" w:cs="Arial"/>
          <w:w w:val="0"/>
          <w:lang w:val="es-AR"/>
        </w:rPr>
        <w:lastRenderedPageBreak/>
        <w:t>cons</w:t>
      </w:r>
      <w:r w:rsidR="00755313" w:rsidRPr="007137F0">
        <w:rPr>
          <w:rFonts w:ascii="Arial" w:hAnsi="Arial" w:cs="Arial"/>
          <w:w w:val="0"/>
          <w:lang w:val="es-AR"/>
        </w:rPr>
        <w:t xml:space="preserve">ecuencia de un incremento del </w:t>
      </w:r>
      <w:r w:rsidR="009A6211" w:rsidRPr="007137F0">
        <w:rPr>
          <w:rFonts w:ascii="Arial" w:hAnsi="Arial" w:cs="Arial"/>
          <w:w w:val="0"/>
          <w:lang w:val="es-AR"/>
        </w:rPr>
        <w:t>56,8</w:t>
      </w:r>
      <w:r w:rsidR="00A03E82" w:rsidRPr="007137F0">
        <w:rPr>
          <w:rFonts w:ascii="Arial" w:hAnsi="Arial" w:cs="Arial"/>
          <w:w w:val="0"/>
          <w:lang w:val="es-AR"/>
        </w:rPr>
        <w:t>% del precio promedio en pesos,</w:t>
      </w:r>
      <w:r w:rsidR="005532F6" w:rsidRPr="007137F0">
        <w:rPr>
          <w:rFonts w:ascii="Arial" w:hAnsi="Arial" w:cs="Arial"/>
          <w:w w:val="0"/>
          <w:lang w:val="es-AR"/>
        </w:rPr>
        <w:t xml:space="preserve"> considerando la devaluación producida entre ambos períodos. El </w:t>
      </w:r>
      <w:r w:rsidR="00A03E82" w:rsidRPr="007137F0">
        <w:rPr>
          <w:rFonts w:ascii="Arial" w:hAnsi="Arial" w:cs="Arial"/>
          <w:w w:val="0"/>
          <w:lang w:val="es-AR"/>
        </w:rPr>
        <w:t>precio de realización promedio del trimestre en dólare</w:t>
      </w:r>
      <w:r w:rsidR="009A6211" w:rsidRPr="007137F0">
        <w:rPr>
          <w:rFonts w:ascii="Arial" w:hAnsi="Arial" w:cs="Arial"/>
          <w:w w:val="0"/>
          <w:lang w:val="es-AR"/>
        </w:rPr>
        <w:t xml:space="preserve">s </w:t>
      </w:r>
      <w:r w:rsidR="00A65192" w:rsidRPr="007137F0">
        <w:rPr>
          <w:rFonts w:ascii="Arial" w:hAnsi="Arial" w:cs="Arial"/>
          <w:w w:val="0"/>
          <w:lang w:val="es-AR"/>
        </w:rPr>
        <w:t>fue de 4,06</w:t>
      </w:r>
      <w:r w:rsidR="009A6211" w:rsidRPr="007137F0">
        <w:rPr>
          <w:rFonts w:ascii="Arial" w:hAnsi="Arial" w:cs="Arial"/>
          <w:w w:val="0"/>
          <w:lang w:val="es-AR"/>
        </w:rPr>
        <w:t xml:space="preserve"> USD/</w:t>
      </w:r>
      <w:proofErr w:type="spellStart"/>
      <w:r w:rsidR="009A6211" w:rsidRPr="007137F0">
        <w:rPr>
          <w:rFonts w:ascii="Arial" w:hAnsi="Arial" w:cs="Arial"/>
          <w:w w:val="0"/>
          <w:lang w:val="es-AR"/>
        </w:rPr>
        <w:t>Mmbtu</w:t>
      </w:r>
      <w:proofErr w:type="spellEnd"/>
      <w:r w:rsidR="009A6211" w:rsidRPr="007137F0">
        <w:rPr>
          <w:rFonts w:ascii="Arial" w:hAnsi="Arial" w:cs="Arial"/>
          <w:w w:val="0"/>
          <w:lang w:val="es-AR"/>
        </w:rPr>
        <w:t>, un 13</w:t>
      </w:r>
      <w:r w:rsidR="00A65192" w:rsidRPr="007137F0">
        <w:rPr>
          <w:rFonts w:ascii="Arial" w:hAnsi="Arial" w:cs="Arial"/>
          <w:w w:val="0"/>
          <w:lang w:val="es-AR"/>
        </w:rPr>
        <w:t>,6</w:t>
      </w:r>
      <w:r w:rsidR="00A03E82" w:rsidRPr="007137F0">
        <w:rPr>
          <w:rFonts w:ascii="Arial" w:hAnsi="Arial" w:cs="Arial"/>
          <w:w w:val="0"/>
          <w:lang w:val="es-AR"/>
        </w:rPr>
        <w:t>% infe</w:t>
      </w:r>
      <w:r w:rsidR="008222FB" w:rsidRPr="007137F0">
        <w:rPr>
          <w:rFonts w:ascii="Arial" w:hAnsi="Arial" w:cs="Arial"/>
          <w:w w:val="0"/>
          <w:lang w:val="es-AR"/>
        </w:rPr>
        <w:t>rior al del mismo trimestre 201</w:t>
      </w:r>
      <w:r w:rsidR="005532F6" w:rsidRPr="007137F0">
        <w:rPr>
          <w:rFonts w:ascii="Arial" w:hAnsi="Arial" w:cs="Arial"/>
          <w:w w:val="0"/>
          <w:lang w:val="es-AR"/>
        </w:rPr>
        <w:t>8.</w:t>
      </w:r>
      <w:r w:rsidR="00755313" w:rsidRPr="007137F0">
        <w:rPr>
          <w:rFonts w:ascii="Arial" w:hAnsi="Arial" w:cs="Arial"/>
          <w:w w:val="0"/>
          <w:lang w:val="es-AR"/>
        </w:rPr>
        <w:t xml:space="preserve"> Asimismo, los volúmenes comercializados </w:t>
      </w:r>
      <w:r w:rsidR="00D51298">
        <w:rPr>
          <w:rFonts w:ascii="Arial" w:hAnsi="Arial" w:cs="Arial"/>
          <w:w w:val="0"/>
          <w:lang w:val="es-AR"/>
        </w:rPr>
        <w:t xml:space="preserve">entre </w:t>
      </w:r>
      <w:r w:rsidR="001C7BEF">
        <w:rPr>
          <w:rFonts w:ascii="Arial" w:hAnsi="Arial" w:cs="Arial"/>
          <w:w w:val="0"/>
          <w:lang w:val="es-AR"/>
        </w:rPr>
        <w:t>segmento</w:t>
      </w:r>
      <w:r w:rsidR="00D51298">
        <w:rPr>
          <w:rFonts w:ascii="Arial" w:hAnsi="Arial" w:cs="Arial"/>
          <w:w w:val="0"/>
          <w:lang w:val="es-AR"/>
        </w:rPr>
        <w:t>s</w:t>
      </w:r>
      <w:r w:rsidR="001C7BEF">
        <w:rPr>
          <w:rFonts w:ascii="Arial" w:hAnsi="Arial" w:cs="Arial"/>
          <w:w w:val="0"/>
          <w:lang w:val="es-AR"/>
        </w:rPr>
        <w:t xml:space="preserve"> </w:t>
      </w:r>
      <w:r w:rsidR="00755313" w:rsidRPr="007137F0">
        <w:rPr>
          <w:rFonts w:ascii="Arial" w:hAnsi="Arial" w:cs="Arial"/>
          <w:w w:val="0"/>
          <w:lang w:val="es-AR"/>
        </w:rPr>
        <w:t xml:space="preserve">presentaron una disminución del </w:t>
      </w:r>
      <w:r w:rsidR="000308FF" w:rsidRPr="007137F0">
        <w:rPr>
          <w:rFonts w:ascii="Arial" w:hAnsi="Arial" w:cs="Arial"/>
          <w:w w:val="0"/>
          <w:lang w:val="es-AR"/>
        </w:rPr>
        <w:t>10,0</w:t>
      </w:r>
      <w:r w:rsidR="00755313" w:rsidRPr="007137F0">
        <w:rPr>
          <w:rFonts w:ascii="Arial" w:hAnsi="Arial" w:cs="Arial"/>
          <w:w w:val="0"/>
          <w:lang w:val="es-AR"/>
        </w:rPr>
        <w:t>%, en comparación con el mismo periodo de</w:t>
      </w:r>
      <w:r w:rsidR="003D53A4" w:rsidRPr="007137F0">
        <w:rPr>
          <w:rFonts w:ascii="Arial" w:hAnsi="Arial" w:cs="Arial"/>
          <w:w w:val="0"/>
          <w:lang w:val="es-AR"/>
        </w:rPr>
        <w:t xml:space="preserve"> 2018 </w:t>
      </w:r>
      <w:r w:rsidR="0091776E" w:rsidRPr="005952B1">
        <w:rPr>
          <w:rFonts w:ascii="Arial" w:hAnsi="Arial" w:cs="Arial"/>
          <w:w w:val="0"/>
          <w:lang w:val="es-AR"/>
        </w:rPr>
        <w:t>debido</w:t>
      </w:r>
      <w:r w:rsidR="0091776E" w:rsidRPr="007137F0">
        <w:rPr>
          <w:rFonts w:ascii="Arial" w:hAnsi="Arial" w:cs="Arial"/>
          <w:w w:val="0"/>
          <w:lang w:val="es-AR"/>
        </w:rPr>
        <w:t xml:space="preserve"> principalmente por el exceso de oferta de gas frente a la demanda doméstica, lo cual impactó en la producción de gas natural.</w:t>
      </w:r>
    </w:p>
    <w:p w14:paraId="64D10EF1" w14:textId="0C007D5F" w:rsidR="00F66D20" w:rsidRDefault="001D5FEE" w:rsidP="00725BDD">
      <w:pPr>
        <w:spacing w:line="288" w:lineRule="auto"/>
        <w:jc w:val="both"/>
        <w:rPr>
          <w:rFonts w:ascii="Arial" w:hAnsi="Arial" w:cs="Arial"/>
          <w:w w:val="0"/>
          <w:lang w:val="es-AR"/>
        </w:rPr>
      </w:pPr>
      <w:r w:rsidRPr="009851D1">
        <w:rPr>
          <w:rFonts w:ascii="Arial" w:hAnsi="Arial" w:cs="Arial"/>
          <w:spacing w:val="-3"/>
          <w:lang w:val="es-AR"/>
        </w:rPr>
        <w:t xml:space="preserve">Durante el </w:t>
      </w:r>
      <w:r w:rsidR="00A14637" w:rsidRPr="009851D1">
        <w:rPr>
          <w:rFonts w:ascii="Arial" w:hAnsi="Arial" w:cs="Arial"/>
          <w:spacing w:val="-3"/>
          <w:lang w:val="es-AR"/>
        </w:rPr>
        <w:t>segundo</w:t>
      </w:r>
      <w:r w:rsidR="008222FB" w:rsidRPr="009851D1">
        <w:rPr>
          <w:rFonts w:ascii="Arial" w:hAnsi="Arial" w:cs="Arial"/>
          <w:spacing w:val="-3"/>
          <w:lang w:val="es-AR"/>
        </w:rPr>
        <w:t xml:space="preserve"> </w:t>
      </w:r>
      <w:r w:rsidRPr="009851D1">
        <w:rPr>
          <w:rFonts w:ascii="Arial" w:hAnsi="Arial" w:cs="Arial"/>
          <w:spacing w:val="-3"/>
          <w:lang w:val="es-AR"/>
        </w:rPr>
        <w:t>trimestre del año</w:t>
      </w:r>
      <w:r w:rsidR="008222FB" w:rsidRPr="009851D1">
        <w:rPr>
          <w:rFonts w:ascii="Arial" w:hAnsi="Arial" w:cs="Arial"/>
          <w:spacing w:val="-3"/>
          <w:lang w:val="es-AR"/>
        </w:rPr>
        <w:t xml:space="preserve"> 2019</w:t>
      </w:r>
      <w:r w:rsidRPr="009851D1">
        <w:rPr>
          <w:rFonts w:ascii="Arial" w:hAnsi="Arial" w:cs="Arial"/>
          <w:spacing w:val="-3"/>
          <w:lang w:val="es-AR"/>
        </w:rPr>
        <w:t xml:space="preserve"> la producción total</w:t>
      </w:r>
      <w:r w:rsidR="001C37EE" w:rsidRPr="009851D1">
        <w:rPr>
          <w:rFonts w:ascii="Arial" w:hAnsi="Arial" w:cs="Arial"/>
          <w:spacing w:val="-3"/>
          <w:lang w:val="es-AR"/>
        </w:rPr>
        <w:t xml:space="preserve"> de</w:t>
      </w:r>
      <w:r w:rsidR="00755313" w:rsidRPr="009851D1">
        <w:rPr>
          <w:rFonts w:ascii="Arial" w:hAnsi="Arial" w:cs="Arial"/>
          <w:spacing w:val="-3"/>
          <w:lang w:val="es-AR"/>
        </w:rPr>
        <w:t xml:space="preserve"> hi</w:t>
      </w:r>
      <w:r w:rsidR="00E041A0" w:rsidRPr="009851D1">
        <w:rPr>
          <w:rFonts w:ascii="Arial" w:hAnsi="Arial" w:cs="Arial"/>
          <w:spacing w:val="-3"/>
          <w:lang w:val="es-AR"/>
        </w:rPr>
        <w:t>drocarburos alcanzó los 515,7</w:t>
      </w:r>
      <w:r w:rsidRPr="009851D1">
        <w:rPr>
          <w:rFonts w:ascii="Arial" w:hAnsi="Arial" w:cs="Arial"/>
          <w:spacing w:val="-3"/>
          <w:lang w:val="es-AR"/>
        </w:rPr>
        <w:t xml:space="preserve"> </w:t>
      </w:r>
      <w:proofErr w:type="spellStart"/>
      <w:r w:rsidRPr="009851D1">
        <w:rPr>
          <w:rFonts w:ascii="Arial" w:hAnsi="Arial" w:cs="Arial"/>
          <w:spacing w:val="-3"/>
          <w:lang w:val="es-AR"/>
        </w:rPr>
        <w:t>Kbped</w:t>
      </w:r>
      <w:proofErr w:type="spellEnd"/>
      <w:r w:rsidRPr="009851D1">
        <w:rPr>
          <w:rFonts w:ascii="Arial" w:hAnsi="Arial" w:cs="Arial"/>
          <w:spacing w:val="-3"/>
          <w:lang w:val="es-AR"/>
        </w:rPr>
        <w:t xml:space="preserve">, siendo un </w:t>
      </w:r>
      <w:r w:rsidR="00E041A0" w:rsidRPr="009851D1">
        <w:rPr>
          <w:rFonts w:ascii="Arial" w:hAnsi="Arial" w:cs="Arial"/>
          <w:spacing w:val="-3"/>
          <w:lang w:val="es-AR"/>
        </w:rPr>
        <w:t>5,3</w:t>
      </w:r>
      <w:r w:rsidRPr="009851D1">
        <w:rPr>
          <w:rFonts w:ascii="Arial" w:hAnsi="Arial" w:cs="Arial"/>
          <w:spacing w:val="-3"/>
          <w:lang w:val="es-AR"/>
        </w:rPr>
        <w:t xml:space="preserve">% </w:t>
      </w:r>
      <w:r w:rsidR="00CC7640" w:rsidRPr="009851D1">
        <w:rPr>
          <w:rFonts w:ascii="Arial" w:hAnsi="Arial" w:cs="Arial"/>
          <w:spacing w:val="-3"/>
          <w:lang w:val="es-AR"/>
        </w:rPr>
        <w:t xml:space="preserve">inferior </w:t>
      </w:r>
      <w:r w:rsidR="001C37EE" w:rsidRPr="009851D1">
        <w:rPr>
          <w:rFonts w:ascii="Arial" w:hAnsi="Arial" w:cs="Arial"/>
          <w:spacing w:val="-3"/>
          <w:lang w:val="es-AR"/>
        </w:rPr>
        <w:t>a la del mismo periodo 201</w:t>
      </w:r>
      <w:r w:rsidR="008222FB" w:rsidRPr="009851D1">
        <w:rPr>
          <w:rFonts w:ascii="Arial" w:hAnsi="Arial" w:cs="Arial"/>
          <w:spacing w:val="-3"/>
          <w:lang w:val="es-AR"/>
        </w:rPr>
        <w:t>8</w:t>
      </w:r>
      <w:r w:rsidRPr="009851D1">
        <w:rPr>
          <w:rFonts w:ascii="Arial" w:hAnsi="Arial" w:cs="Arial"/>
          <w:spacing w:val="-3"/>
          <w:lang w:val="es-AR"/>
        </w:rPr>
        <w:t>. La p</w:t>
      </w:r>
      <w:r w:rsidR="00755313" w:rsidRPr="009851D1">
        <w:rPr>
          <w:rFonts w:ascii="Arial" w:hAnsi="Arial" w:cs="Arial"/>
          <w:spacing w:val="-3"/>
          <w:lang w:val="es-AR"/>
        </w:rPr>
        <w:t xml:space="preserve">roducción de crudo </w:t>
      </w:r>
      <w:r w:rsidR="00D51298">
        <w:rPr>
          <w:rFonts w:ascii="Arial" w:hAnsi="Arial" w:cs="Arial"/>
          <w:spacing w:val="-3"/>
          <w:lang w:val="es-AR"/>
        </w:rPr>
        <w:t>disminuyó apenas un 1,0%</w:t>
      </w:r>
      <w:r w:rsidR="00364FA5">
        <w:rPr>
          <w:rFonts w:ascii="Arial" w:hAnsi="Arial" w:cs="Arial"/>
          <w:spacing w:val="-3"/>
          <w:lang w:val="es-AR"/>
        </w:rPr>
        <w:t xml:space="preserve"> </w:t>
      </w:r>
      <w:r w:rsidRPr="009851D1">
        <w:rPr>
          <w:rFonts w:ascii="Arial" w:hAnsi="Arial" w:cs="Arial"/>
          <w:spacing w:val="-3"/>
          <w:lang w:val="es-AR"/>
        </w:rPr>
        <w:t>totalizando 2</w:t>
      </w:r>
      <w:r w:rsidR="00F04901" w:rsidRPr="009851D1">
        <w:rPr>
          <w:rFonts w:ascii="Arial" w:hAnsi="Arial" w:cs="Arial"/>
          <w:spacing w:val="-3"/>
          <w:lang w:val="es-AR"/>
        </w:rPr>
        <w:t>24,0</w:t>
      </w:r>
      <w:r w:rsidRPr="009851D1">
        <w:rPr>
          <w:rFonts w:ascii="Arial" w:hAnsi="Arial" w:cs="Arial"/>
          <w:spacing w:val="-3"/>
          <w:lang w:val="es-AR"/>
        </w:rPr>
        <w:t xml:space="preserve"> </w:t>
      </w:r>
      <w:proofErr w:type="spellStart"/>
      <w:r w:rsidR="00E275C9" w:rsidRPr="009851D1">
        <w:rPr>
          <w:rFonts w:ascii="Arial" w:hAnsi="Arial" w:cs="Arial"/>
          <w:spacing w:val="-3"/>
          <w:lang w:val="es-AR"/>
        </w:rPr>
        <w:t>Kbbld</w:t>
      </w:r>
      <w:proofErr w:type="spellEnd"/>
      <w:r w:rsidR="00454236" w:rsidRPr="00B6509E">
        <w:rPr>
          <w:rFonts w:ascii="Arial" w:hAnsi="Arial" w:cs="Arial"/>
          <w:spacing w:val="-3"/>
          <w:lang w:val="es-AR"/>
        </w:rPr>
        <w:t>.</w:t>
      </w:r>
      <w:r w:rsidR="00B6509E" w:rsidRPr="00B6509E">
        <w:rPr>
          <w:rFonts w:ascii="Arial" w:hAnsi="Arial" w:cs="Arial"/>
          <w:spacing w:val="-3"/>
          <w:lang w:val="es-AR"/>
        </w:rPr>
        <w:t xml:space="preserve"> </w:t>
      </w:r>
      <w:r w:rsidR="00B6509E" w:rsidRPr="00364FA5">
        <w:rPr>
          <w:rFonts w:ascii="Arial" w:hAnsi="Arial" w:cs="Arial"/>
          <w:w w:val="0"/>
          <w:lang w:val="es-AR"/>
        </w:rPr>
        <w:t xml:space="preserve">Adicionalmente, al 31 de diciembre de 2018 finalizó el proceso de cesión de áreas marginales cuya producción durante el segundo trimestre de 2018 fue de 2,1 </w:t>
      </w:r>
      <w:proofErr w:type="spellStart"/>
      <w:r w:rsidR="00B6509E" w:rsidRPr="00364FA5">
        <w:rPr>
          <w:rFonts w:ascii="Arial" w:hAnsi="Arial" w:cs="Arial"/>
          <w:w w:val="0"/>
          <w:lang w:val="es-AR"/>
        </w:rPr>
        <w:t>Kbbld</w:t>
      </w:r>
      <w:proofErr w:type="spellEnd"/>
      <w:r w:rsidR="00B6509E" w:rsidRPr="00364FA5">
        <w:rPr>
          <w:rFonts w:ascii="Arial" w:hAnsi="Arial" w:cs="Arial"/>
          <w:w w:val="0"/>
          <w:lang w:val="es-AR"/>
        </w:rPr>
        <w:t>.</w:t>
      </w:r>
      <w:r w:rsidR="00B6509E">
        <w:rPr>
          <w:rFonts w:ascii="Arial" w:hAnsi="Arial" w:cs="Arial"/>
          <w:w w:val="0"/>
          <w:lang w:val="es-AR"/>
        </w:rPr>
        <w:t xml:space="preserve"> </w:t>
      </w:r>
      <w:r w:rsidR="001247C6" w:rsidRPr="007137F0">
        <w:rPr>
          <w:rFonts w:ascii="Arial" w:hAnsi="Arial" w:cs="Arial"/>
          <w:w w:val="0"/>
          <w:lang w:val="es-AR"/>
        </w:rPr>
        <w:t xml:space="preserve">El mercado de gas natural en la argentina durante el segundo trimestre de 2019 se vio afectado, aunque en menor medida respecto al primer trimestre, por el exceso de oferta frente a la demanda doméstica, lo cual impactó en la producción de gas natural a partir del cierre temporal de producción en algunas locaciones en abril y en menor medida en mayo, como así también a partir de la </w:t>
      </w:r>
      <w:bookmarkStart w:id="71" w:name="_Hlk15921019"/>
      <w:r w:rsidR="001247C6" w:rsidRPr="007137F0">
        <w:rPr>
          <w:rFonts w:ascii="Arial" w:hAnsi="Arial" w:cs="Arial"/>
          <w:w w:val="0"/>
          <w:lang w:val="es-AR"/>
        </w:rPr>
        <w:t>reinyección del hidrocarburo</w:t>
      </w:r>
      <w:bookmarkEnd w:id="71"/>
      <w:r w:rsidR="001247C6" w:rsidRPr="007137F0">
        <w:rPr>
          <w:rFonts w:ascii="Arial" w:hAnsi="Arial" w:cs="Arial"/>
          <w:w w:val="0"/>
          <w:lang w:val="es-AR"/>
        </w:rPr>
        <w:t>.</w:t>
      </w:r>
      <w:r w:rsidR="001247C6">
        <w:rPr>
          <w:rFonts w:ascii="Arial" w:hAnsi="Arial" w:cs="Arial"/>
          <w:w w:val="0"/>
          <w:lang w:val="es-AR"/>
        </w:rPr>
        <w:t xml:space="preserve"> </w:t>
      </w:r>
      <w:r w:rsidR="001247C6" w:rsidRPr="007137F0">
        <w:rPr>
          <w:rFonts w:ascii="Arial" w:hAnsi="Arial" w:cs="Arial"/>
          <w:w w:val="0"/>
          <w:lang w:val="es-AR"/>
        </w:rPr>
        <w:t>Entre otros, las temperaturas promedio observadas en el segundo trimestre 2019 y la menor demanda en los sectores de gran consumo, determinaron un menor consumo de gas natural por el sector de usinas e industrias, lo cual afectó la demanda y consecuentemente, la oferta de gas natural.</w:t>
      </w:r>
      <w:r w:rsidR="001247C6" w:rsidRPr="007137F0">
        <w:rPr>
          <w:lang w:val="es-AR"/>
        </w:rPr>
        <w:t xml:space="preserve"> </w:t>
      </w:r>
      <w:r w:rsidR="009851D1" w:rsidRPr="009851D1">
        <w:rPr>
          <w:rFonts w:ascii="Arial" w:hAnsi="Arial" w:cs="Arial"/>
          <w:w w:val="0"/>
          <w:lang w:val="es-AR"/>
        </w:rPr>
        <w:t xml:space="preserve"> </w:t>
      </w:r>
      <w:r w:rsidR="00087282" w:rsidRPr="009851D1">
        <w:rPr>
          <w:rFonts w:ascii="Arial" w:hAnsi="Arial" w:cs="Arial"/>
          <w:spacing w:val="-3"/>
          <w:lang w:val="es-AR"/>
        </w:rPr>
        <w:t>En</w:t>
      </w:r>
      <w:r w:rsidR="00087282">
        <w:rPr>
          <w:rFonts w:ascii="Arial" w:hAnsi="Arial" w:cs="Arial"/>
          <w:spacing w:val="-3"/>
          <w:lang w:val="es-AR"/>
        </w:rPr>
        <w:t xml:space="preserve"> este orden, l</w:t>
      </w:r>
      <w:r w:rsidR="00087282" w:rsidRPr="008F0923">
        <w:rPr>
          <w:rFonts w:ascii="Arial" w:hAnsi="Arial" w:cs="Arial"/>
          <w:spacing w:val="-3"/>
          <w:lang w:val="es-AR"/>
        </w:rPr>
        <w:t>a</w:t>
      </w:r>
      <w:r w:rsidR="00087282">
        <w:rPr>
          <w:rFonts w:ascii="Arial" w:hAnsi="Arial" w:cs="Arial"/>
          <w:spacing w:val="-3"/>
          <w:lang w:val="es-AR"/>
        </w:rPr>
        <w:t xml:space="preserve"> producción de gas natural disminuyó</w:t>
      </w:r>
      <w:r w:rsidR="00087282" w:rsidRPr="008F0923">
        <w:rPr>
          <w:rFonts w:ascii="Arial" w:hAnsi="Arial" w:cs="Arial"/>
          <w:spacing w:val="-3"/>
          <w:lang w:val="es-AR"/>
        </w:rPr>
        <w:t xml:space="preserve"> </w:t>
      </w:r>
      <w:r w:rsidR="00BE7D69">
        <w:rPr>
          <w:rFonts w:ascii="Arial" w:hAnsi="Arial" w:cs="Arial"/>
          <w:spacing w:val="-3"/>
          <w:lang w:val="es-AR"/>
        </w:rPr>
        <w:t>un 8,8</w:t>
      </w:r>
      <w:r w:rsidR="00087282">
        <w:rPr>
          <w:rFonts w:ascii="Arial" w:hAnsi="Arial" w:cs="Arial"/>
          <w:spacing w:val="-3"/>
          <w:lang w:val="es-AR"/>
        </w:rPr>
        <w:t xml:space="preserve">% respecto al mismo </w:t>
      </w:r>
      <w:r w:rsidR="002375BA">
        <w:rPr>
          <w:rFonts w:ascii="Arial" w:hAnsi="Arial" w:cs="Arial"/>
          <w:spacing w:val="-3"/>
          <w:lang w:val="es-AR"/>
        </w:rPr>
        <w:t>periodo</w:t>
      </w:r>
      <w:r w:rsidR="008222FB">
        <w:rPr>
          <w:rFonts w:ascii="Arial" w:hAnsi="Arial" w:cs="Arial"/>
          <w:spacing w:val="-3"/>
          <w:lang w:val="es-AR"/>
        </w:rPr>
        <w:t xml:space="preserve"> de 2018</w:t>
      </w:r>
      <w:r w:rsidR="00087282">
        <w:rPr>
          <w:rFonts w:ascii="Arial" w:hAnsi="Arial" w:cs="Arial"/>
          <w:spacing w:val="-3"/>
          <w:lang w:val="es-AR"/>
        </w:rPr>
        <w:t xml:space="preserve">, </w:t>
      </w:r>
      <w:r w:rsidR="00087282" w:rsidRPr="00511BD6">
        <w:rPr>
          <w:rFonts w:ascii="Arial" w:hAnsi="Arial" w:cs="Arial"/>
          <w:spacing w:val="-3"/>
          <w:lang w:val="es-AR"/>
        </w:rPr>
        <w:t>alcanz</w:t>
      </w:r>
      <w:r w:rsidR="00087282">
        <w:rPr>
          <w:rFonts w:ascii="Arial" w:hAnsi="Arial" w:cs="Arial"/>
          <w:spacing w:val="-3"/>
          <w:lang w:val="es-AR"/>
        </w:rPr>
        <w:t>ando</w:t>
      </w:r>
      <w:r w:rsidR="00087282" w:rsidRPr="00511BD6">
        <w:rPr>
          <w:rFonts w:ascii="Arial" w:hAnsi="Arial" w:cs="Arial"/>
          <w:spacing w:val="-3"/>
          <w:lang w:val="es-AR"/>
        </w:rPr>
        <w:t xml:space="preserve"> </w:t>
      </w:r>
      <w:r w:rsidR="00BE7D69">
        <w:rPr>
          <w:rFonts w:ascii="Arial" w:hAnsi="Arial" w:cs="Arial"/>
          <w:spacing w:val="-3"/>
          <w:lang w:val="es-AR"/>
        </w:rPr>
        <w:t>los 40,1</w:t>
      </w:r>
      <w:r w:rsidRPr="00511BD6">
        <w:rPr>
          <w:rFonts w:ascii="Arial" w:hAnsi="Arial" w:cs="Arial"/>
          <w:spacing w:val="-3"/>
          <w:lang w:val="es-AR"/>
        </w:rPr>
        <w:t xml:space="preserve"> Mm3d. Por su parte</w:t>
      </w:r>
      <w:r w:rsidR="00040408">
        <w:rPr>
          <w:rFonts w:ascii="Arial" w:hAnsi="Arial" w:cs="Arial"/>
          <w:spacing w:val="-3"/>
          <w:lang w:val="es-AR"/>
        </w:rPr>
        <w:t>,</w:t>
      </w:r>
      <w:r w:rsidRPr="00511BD6">
        <w:rPr>
          <w:rFonts w:ascii="Arial" w:hAnsi="Arial" w:cs="Arial"/>
          <w:spacing w:val="-3"/>
          <w:lang w:val="es-AR"/>
        </w:rPr>
        <w:t xml:space="preserve"> la pro</w:t>
      </w:r>
      <w:r w:rsidR="00BE7D69">
        <w:rPr>
          <w:rFonts w:ascii="Arial" w:hAnsi="Arial" w:cs="Arial"/>
          <w:spacing w:val="-3"/>
          <w:lang w:val="es-AR"/>
        </w:rPr>
        <w:t>ducción de NGL se redujo un 5,3</w:t>
      </w:r>
      <w:r w:rsidRPr="00511BD6">
        <w:rPr>
          <w:rFonts w:ascii="Arial" w:hAnsi="Arial" w:cs="Arial"/>
          <w:spacing w:val="-3"/>
          <w:lang w:val="es-AR"/>
        </w:rPr>
        <w:t xml:space="preserve">% alcanzando los </w:t>
      </w:r>
      <w:r w:rsidR="00BE7D69">
        <w:rPr>
          <w:rFonts w:ascii="Arial" w:hAnsi="Arial" w:cs="Arial"/>
          <w:spacing w:val="-3"/>
          <w:lang w:val="es-AR"/>
        </w:rPr>
        <w:t>39,4</w:t>
      </w:r>
      <w:r w:rsidR="00E275C9" w:rsidRPr="00511BD6">
        <w:rPr>
          <w:rFonts w:ascii="Arial" w:hAnsi="Arial" w:cs="Arial"/>
          <w:spacing w:val="-3"/>
          <w:lang w:val="es-AR"/>
        </w:rPr>
        <w:t xml:space="preserve"> </w:t>
      </w:r>
      <w:proofErr w:type="spellStart"/>
      <w:r w:rsidR="00E275C9" w:rsidRPr="00511BD6">
        <w:rPr>
          <w:rFonts w:ascii="Arial" w:hAnsi="Arial" w:cs="Arial"/>
          <w:spacing w:val="-3"/>
          <w:lang w:val="es-AR"/>
        </w:rPr>
        <w:t>Kbbld</w:t>
      </w:r>
      <w:proofErr w:type="spellEnd"/>
      <w:r w:rsidR="00E275C9" w:rsidRPr="00511BD6">
        <w:rPr>
          <w:rFonts w:ascii="Arial" w:hAnsi="Arial" w:cs="Arial"/>
          <w:spacing w:val="-3"/>
          <w:lang w:val="es-AR"/>
        </w:rPr>
        <w:t xml:space="preserve"> </w:t>
      </w:r>
      <w:r w:rsidR="001247C6" w:rsidRPr="007137F0">
        <w:rPr>
          <w:rFonts w:ascii="Arial" w:hAnsi="Arial"/>
          <w:w w:val="0"/>
          <w:lang w:val="es-AR"/>
        </w:rPr>
        <w:t xml:space="preserve">debido fundamentalmente a las pérdidas por corte de energía en junio 2019 </w:t>
      </w:r>
      <w:r w:rsidR="001247C6" w:rsidRPr="007137F0">
        <w:rPr>
          <w:rFonts w:ascii="Arial" w:hAnsi="Arial" w:cs="Arial"/>
          <w:w w:val="0"/>
          <w:lang w:val="es-AR"/>
        </w:rPr>
        <w:t xml:space="preserve">junto con el incendio en la planta de Etileno DOW que limitó la utilización de la capacidad instalada en MEGA para la producción de Etano que no pudieron entregarse para </w:t>
      </w:r>
      <w:r w:rsidR="001247C6" w:rsidRPr="00B6509E">
        <w:rPr>
          <w:rFonts w:ascii="Arial" w:hAnsi="Arial" w:cs="Arial"/>
          <w:w w:val="0"/>
          <w:lang w:val="es-AR"/>
        </w:rPr>
        <w:t xml:space="preserve">su refinación. </w:t>
      </w:r>
      <w:r w:rsidR="001247C6" w:rsidRPr="00364FA5">
        <w:rPr>
          <w:rFonts w:ascii="Arial" w:hAnsi="Arial" w:cs="Arial"/>
          <w:w w:val="0"/>
          <w:lang w:val="es-AR"/>
        </w:rPr>
        <w:t xml:space="preserve"> </w:t>
      </w:r>
    </w:p>
    <w:p w14:paraId="09D66A99" w14:textId="782006A7" w:rsidR="00025B45" w:rsidRPr="00025B45" w:rsidRDefault="00025B45" w:rsidP="00725BDD">
      <w:pPr>
        <w:spacing w:line="288" w:lineRule="auto"/>
        <w:jc w:val="both"/>
        <w:rPr>
          <w:rFonts w:ascii="Arial" w:hAnsi="Arial" w:cs="Arial"/>
          <w:spacing w:val="-3"/>
          <w:lang w:val="es-AR"/>
        </w:rPr>
      </w:pPr>
      <w:r w:rsidRPr="000725C7">
        <w:rPr>
          <w:rFonts w:ascii="Arial" w:hAnsi="Arial" w:cs="Arial"/>
          <w:spacing w:val="-3"/>
          <w:lang w:val="es-AR"/>
        </w:rPr>
        <w:t>Respecto de la actividad de desarrollo, en el</w:t>
      </w:r>
      <w:r w:rsidR="002C323B" w:rsidRPr="000725C7">
        <w:rPr>
          <w:rFonts w:ascii="Arial" w:hAnsi="Arial" w:cs="Arial"/>
          <w:spacing w:val="-3"/>
          <w:lang w:val="es-AR"/>
        </w:rPr>
        <w:t xml:space="preserve"> segundo</w:t>
      </w:r>
      <w:r w:rsidRPr="000725C7">
        <w:rPr>
          <w:rFonts w:ascii="Arial" w:hAnsi="Arial" w:cs="Arial"/>
          <w:spacing w:val="-3"/>
          <w:lang w:val="es-AR"/>
        </w:rPr>
        <w:t xml:space="preserve"> trimestre </w:t>
      </w:r>
      <w:r w:rsidR="002C323B" w:rsidRPr="000725C7">
        <w:rPr>
          <w:rFonts w:ascii="Arial" w:hAnsi="Arial" w:cs="Arial"/>
          <w:spacing w:val="-3"/>
          <w:lang w:val="es-AR"/>
        </w:rPr>
        <w:t xml:space="preserve">de 2019 </w:t>
      </w:r>
      <w:r w:rsidRPr="000725C7">
        <w:rPr>
          <w:rFonts w:ascii="Arial" w:hAnsi="Arial" w:cs="Arial"/>
          <w:spacing w:val="-3"/>
          <w:lang w:val="es-AR"/>
        </w:rPr>
        <w:t>se han pue</w:t>
      </w:r>
      <w:r w:rsidRPr="000725C7">
        <w:rPr>
          <w:rFonts w:ascii="Arial" w:hAnsi="Arial" w:cs="Arial"/>
          <w:spacing w:val="-3"/>
          <w:lang w:val="es-AR"/>
        </w:rPr>
        <w:t>sto en producción un total de 111</w:t>
      </w:r>
      <w:r w:rsidRPr="000725C7">
        <w:rPr>
          <w:rFonts w:ascii="Arial" w:hAnsi="Arial" w:cs="Arial"/>
          <w:spacing w:val="-3"/>
          <w:lang w:val="es-AR"/>
        </w:rPr>
        <w:t xml:space="preserve"> pozos nuevos, incluyendo los pozos de </w:t>
      </w:r>
      <w:proofErr w:type="spellStart"/>
      <w:r w:rsidRPr="000725C7">
        <w:rPr>
          <w:rFonts w:ascii="Arial" w:hAnsi="Arial" w:cs="Arial"/>
          <w:spacing w:val="-3"/>
          <w:lang w:val="es-AR"/>
        </w:rPr>
        <w:t>shale</w:t>
      </w:r>
      <w:proofErr w:type="spellEnd"/>
      <w:r w:rsidRPr="000725C7">
        <w:rPr>
          <w:rFonts w:ascii="Arial" w:hAnsi="Arial" w:cs="Arial"/>
          <w:spacing w:val="-3"/>
          <w:lang w:val="es-AR"/>
        </w:rPr>
        <w:t xml:space="preserve"> y </w:t>
      </w:r>
      <w:proofErr w:type="spellStart"/>
      <w:r w:rsidRPr="000725C7">
        <w:rPr>
          <w:rFonts w:ascii="Arial" w:hAnsi="Arial" w:cs="Arial"/>
          <w:spacing w:val="-3"/>
          <w:lang w:val="es-AR"/>
        </w:rPr>
        <w:t>t</w:t>
      </w:r>
      <w:r w:rsidRPr="000725C7">
        <w:rPr>
          <w:rFonts w:ascii="Arial" w:hAnsi="Arial" w:cs="Arial"/>
          <w:spacing w:val="-3"/>
          <w:lang w:val="es-AR"/>
        </w:rPr>
        <w:t>ight</w:t>
      </w:r>
      <w:proofErr w:type="spellEnd"/>
      <w:r w:rsidRPr="000725C7">
        <w:rPr>
          <w:rFonts w:ascii="Arial" w:hAnsi="Arial" w:cs="Arial"/>
          <w:spacing w:val="-3"/>
          <w:lang w:val="es-AR"/>
        </w:rPr>
        <w:t xml:space="preserve"> mencionados posteriormente, de los cuales 22 son no operados.</w:t>
      </w:r>
    </w:p>
    <w:p w14:paraId="5A47361E" w14:textId="28353BF5" w:rsidR="00C62017" w:rsidRPr="000725C7" w:rsidRDefault="00C62017" w:rsidP="00C62017">
      <w:pPr>
        <w:spacing w:line="288" w:lineRule="auto"/>
        <w:jc w:val="both"/>
        <w:rPr>
          <w:rFonts w:ascii="Arial" w:hAnsi="Arial" w:cs="Arial"/>
          <w:spacing w:val="-3"/>
          <w:lang w:val="es-AR"/>
        </w:rPr>
      </w:pPr>
      <w:r w:rsidRPr="000725C7">
        <w:rPr>
          <w:rFonts w:ascii="Arial" w:hAnsi="Arial" w:cs="Arial"/>
          <w:spacing w:val="-3"/>
          <w:lang w:val="es-AR"/>
        </w:rPr>
        <w:t xml:space="preserve">Durante el segundo trimestre de 2019, en las áreas de </w:t>
      </w:r>
      <w:proofErr w:type="spellStart"/>
      <w:r w:rsidRPr="000725C7">
        <w:rPr>
          <w:rFonts w:ascii="Arial" w:hAnsi="Arial" w:cs="Arial"/>
          <w:spacing w:val="-3"/>
          <w:lang w:val="es-AR"/>
        </w:rPr>
        <w:t>shale</w:t>
      </w:r>
      <w:proofErr w:type="spellEnd"/>
      <w:r w:rsidRPr="000725C7">
        <w:rPr>
          <w:rFonts w:ascii="Arial" w:hAnsi="Arial" w:cs="Arial"/>
          <w:spacing w:val="-3"/>
          <w:lang w:val="es-AR"/>
        </w:rPr>
        <w:t xml:space="preserve"> la producción neta para YPF alcanzó un total de 82,4 </w:t>
      </w:r>
      <w:proofErr w:type="spellStart"/>
      <w:r w:rsidRPr="000725C7">
        <w:rPr>
          <w:rFonts w:ascii="Arial" w:hAnsi="Arial" w:cs="Arial"/>
          <w:spacing w:val="-3"/>
          <w:lang w:val="es-AR"/>
        </w:rPr>
        <w:t>Kbped</w:t>
      </w:r>
      <w:proofErr w:type="spellEnd"/>
      <w:r w:rsidRPr="000725C7">
        <w:rPr>
          <w:rFonts w:ascii="Arial" w:hAnsi="Arial" w:cs="Arial"/>
          <w:spacing w:val="-3"/>
          <w:lang w:val="es-AR"/>
        </w:rPr>
        <w:t xml:space="preserve"> de hidrocarburos, lo que representa un aumento del 47,9% respecto al segundo trimestre 2018. Dicha producción se compone por 32,1 </w:t>
      </w:r>
      <w:proofErr w:type="spellStart"/>
      <w:r w:rsidRPr="000725C7">
        <w:rPr>
          <w:rFonts w:ascii="Arial" w:hAnsi="Arial" w:cs="Arial"/>
          <w:spacing w:val="-3"/>
          <w:lang w:val="es-AR"/>
        </w:rPr>
        <w:t>Kbbld</w:t>
      </w:r>
      <w:proofErr w:type="spellEnd"/>
      <w:r w:rsidRPr="000725C7">
        <w:rPr>
          <w:rFonts w:ascii="Arial" w:hAnsi="Arial" w:cs="Arial"/>
          <w:spacing w:val="-3"/>
          <w:lang w:val="es-AR"/>
        </w:rPr>
        <w:t xml:space="preserve"> de crudo, 9</w:t>
      </w:r>
      <w:r w:rsidR="00793874" w:rsidRPr="000725C7">
        <w:rPr>
          <w:rFonts w:ascii="Arial" w:hAnsi="Arial" w:cs="Arial"/>
          <w:spacing w:val="-3"/>
          <w:lang w:val="es-AR"/>
        </w:rPr>
        <w:t>,0</w:t>
      </w:r>
      <w:r w:rsidRPr="000725C7">
        <w:rPr>
          <w:rFonts w:ascii="Arial" w:hAnsi="Arial" w:cs="Arial"/>
          <w:spacing w:val="-3"/>
          <w:lang w:val="es-AR"/>
        </w:rPr>
        <w:t xml:space="preserve"> </w:t>
      </w:r>
      <w:proofErr w:type="spellStart"/>
      <w:r w:rsidRPr="000725C7">
        <w:rPr>
          <w:rFonts w:ascii="Arial" w:hAnsi="Arial" w:cs="Arial"/>
          <w:spacing w:val="-3"/>
          <w:lang w:val="es-AR"/>
        </w:rPr>
        <w:t>Kbbld</w:t>
      </w:r>
      <w:proofErr w:type="spellEnd"/>
      <w:r w:rsidRPr="000725C7">
        <w:rPr>
          <w:rFonts w:ascii="Arial" w:hAnsi="Arial" w:cs="Arial"/>
          <w:spacing w:val="-3"/>
          <w:lang w:val="es-AR"/>
        </w:rPr>
        <w:t xml:space="preserve"> de NGL y 6,6 Mm3d de gas natural. En cuanto a la actividad de desarrollo operada, </w:t>
      </w:r>
      <w:r w:rsidR="00025B45" w:rsidRPr="000725C7">
        <w:rPr>
          <w:rFonts w:ascii="Arial" w:hAnsi="Arial" w:cs="Arial"/>
          <w:spacing w:val="-3"/>
          <w:lang w:val="es-AR"/>
        </w:rPr>
        <w:t>se han puesto en producción 39</w:t>
      </w:r>
      <w:r w:rsidRPr="000725C7">
        <w:rPr>
          <w:rFonts w:ascii="Arial" w:hAnsi="Arial" w:cs="Arial"/>
          <w:spacing w:val="-3"/>
          <w:lang w:val="es-AR"/>
        </w:rPr>
        <w:t xml:space="preserve"> pozos con objetivo Vaca Muerta, alcanzando un total de pozos activos, al cierre del </w:t>
      </w:r>
      <w:r w:rsidR="001E784C" w:rsidRPr="000725C7">
        <w:rPr>
          <w:rFonts w:ascii="Arial" w:hAnsi="Arial" w:cs="Arial"/>
          <w:spacing w:val="-3"/>
          <w:lang w:val="es-AR"/>
        </w:rPr>
        <w:t>segundo</w:t>
      </w:r>
      <w:r w:rsidRPr="000725C7">
        <w:rPr>
          <w:rFonts w:ascii="Arial" w:hAnsi="Arial" w:cs="Arial"/>
          <w:spacing w:val="-3"/>
          <w:lang w:val="es-AR"/>
        </w:rPr>
        <w:t xml:space="preserve"> trimestre de 2019, de aproximadamente 780 pozos de los cuales 58 son no opera</w:t>
      </w:r>
      <w:r w:rsidR="00793874" w:rsidRPr="000725C7">
        <w:rPr>
          <w:rFonts w:ascii="Arial" w:hAnsi="Arial" w:cs="Arial"/>
          <w:spacing w:val="-3"/>
          <w:lang w:val="es-AR"/>
        </w:rPr>
        <w:t xml:space="preserve">dos, contando con un total de </w:t>
      </w:r>
      <w:r w:rsidR="005B24FB" w:rsidRPr="000725C7">
        <w:rPr>
          <w:rFonts w:ascii="Arial" w:hAnsi="Arial" w:cs="Arial"/>
          <w:spacing w:val="-3"/>
          <w:lang w:val="es-AR"/>
        </w:rPr>
        <w:t>19</w:t>
      </w:r>
      <w:r w:rsidRPr="000725C7">
        <w:rPr>
          <w:rFonts w:ascii="Arial" w:hAnsi="Arial" w:cs="Arial"/>
          <w:spacing w:val="-3"/>
          <w:lang w:val="es-AR"/>
        </w:rPr>
        <w:t xml:space="preserve"> equipos activos de perforación y 10 de </w:t>
      </w:r>
      <w:proofErr w:type="spellStart"/>
      <w:r w:rsidRPr="000725C7">
        <w:rPr>
          <w:rFonts w:ascii="Arial" w:hAnsi="Arial" w:cs="Arial"/>
          <w:spacing w:val="-3"/>
          <w:lang w:val="es-AR"/>
        </w:rPr>
        <w:t>workover</w:t>
      </w:r>
      <w:proofErr w:type="spellEnd"/>
      <w:r w:rsidRPr="000725C7">
        <w:rPr>
          <w:rFonts w:ascii="Arial" w:hAnsi="Arial" w:cs="Arial"/>
          <w:spacing w:val="-3"/>
          <w:lang w:val="es-AR"/>
        </w:rPr>
        <w:t xml:space="preserve">. </w:t>
      </w:r>
    </w:p>
    <w:p w14:paraId="21035725" w14:textId="64C6DC05" w:rsidR="00C62017" w:rsidRPr="00C62017" w:rsidRDefault="00C62017" w:rsidP="00C62017">
      <w:pPr>
        <w:spacing w:line="288" w:lineRule="auto"/>
        <w:jc w:val="both"/>
        <w:rPr>
          <w:rFonts w:ascii="Arial" w:hAnsi="Arial" w:cs="Arial"/>
          <w:spacing w:val="-3"/>
          <w:lang w:val="es-AR"/>
        </w:rPr>
      </w:pPr>
      <w:bookmarkStart w:id="72" w:name="_GoBack"/>
      <w:bookmarkEnd w:id="72"/>
      <w:r w:rsidRPr="000725C7">
        <w:rPr>
          <w:rFonts w:ascii="Arial" w:hAnsi="Arial" w:cs="Arial"/>
          <w:spacing w:val="-3"/>
          <w:lang w:val="es-AR"/>
        </w:rPr>
        <w:t xml:space="preserve">En cuanto al desarrollo de </w:t>
      </w:r>
      <w:proofErr w:type="spellStart"/>
      <w:r w:rsidRPr="000725C7">
        <w:rPr>
          <w:rFonts w:ascii="Arial" w:hAnsi="Arial" w:cs="Arial"/>
          <w:spacing w:val="-3"/>
          <w:lang w:val="es-AR"/>
        </w:rPr>
        <w:t>tight</w:t>
      </w:r>
      <w:proofErr w:type="spellEnd"/>
      <w:r w:rsidRPr="000725C7">
        <w:rPr>
          <w:rFonts w:ascii="Arial" w:hAnsi="Arial" w:cs="Arial"/>
          <w:spacing w:val="-3"/>
          <w:lang w:val="es-AR"/>
        </w:rPr>
        <w:t xml:space="preserve">, la producción neta alcanzó en el segundo trimestre de 2019 a </w:t>
      </w:r>
      <w:r w:rsidR="00FB3ED1" w:rsidRPr="000725C7">
        <w:rPr>
          <w:rFonts w:ascii="Arial" w:hAnsi="Arial" w:cs="Arial"/>
          <w:spacing w:val="-3"/>
          <w:lang w:val="es-AR"/>
        </w:rPr>
        <w:t>10,8</w:t>
      </w:r>
      <w:r w:rsidRPr="000725C7">
        <w:rPr>
          <w:rFonts w:ascii="Arial" w:hAnsi="Arial" w:cs="Arial"/>
          <w:spacing w:val="-3"/>
          <w:lang w:val="es-AR"/>
        </w:rPr>
        <w:t xml:space="preserve"> Mm3</w:t>
      </w:r>
      <w:r w:rsidR="00FB3ED1" w:rsidRPr="000725C7">
        <w:rPr>
          <w:rFonts w:ascii="Arial" w:hAnsi="Arial" w:cs="Arial"/>
          <w:spacing w:val="-3"/>
          <w:lang w:val="es-AR"/>
        </w:rPr>
        <w:t xml:space="preserve">d de gas, 4,9 </w:t>
      </w:r>
      <w:proofErr w:type="spellStart"/>
      <w:r w:rsidR="00FB3ED1" w:rsidRPr="000725C7">
        <w:rPr>
          <w:rFonts w:ascii="Arial" w:hAnsi="Arial" w:cs="Arial"/>
          <w:spacing w:val="-3"/>
          <w:lang w:val="es-AR"/>
        </w:rPr>
        <w:t>Kbbld</w:t>
      </w:r>
      <w:proofErr w:type="spellEnd"/>
      <w:r w:rsidR="00FB3ED1" w:rsidRPr="000725C7">
        <w:rPr>
          <w:rFonts w:ascii="Arial" w:hAnsi="Arial" w:cs="Arial"/>
          <w:spacing w:val="-3"/>
          <w:lang w:val="es-AR"/>
        </w:rPr>
        <w:t xml:space="preserve"> de NGL y 4,8</w:t>
      </w:r>
      <w:r w:rsidRPr="000725C7">
        <w:rPr>
          <w:rFonts w:ascii="Arial" w:hAnsi="Arial" w:cs="Arial"/>
          <w:spacing w:val="-3"/>
          <w:lang w:val="es-AR"/>
        </w:rPr>
        <w:t xml:space="preserve"> </w:t>
      </w:r>
      <w:proofErr w:type="spellStart"/>
      <w:r w:rsidRPr="000725C7">
        <w:rPr>
          <w:rFonts w:ascii="Arial" w:hAnsi="Arial" w:cs="Arial"/>
          <w:spacing w:val="-3"/>
          <w:lang w:val="es-AR"/>
        </w:rPr>
        <w:t>Kbbld</w:t>
      </w:r>
      <w:proofErr w:type="spellEnd"/>
      <w:r w:rsidRPr="000725C7">
        <w:rPr>
          <w:rFonts w:ascii="Arial" w:hAnsi="Arial" w:cs="Arial"/>
          <w:spacing w:val="-3"/>
          <w:lang w:val="es-AR"/>
        </w:rPr>
        <w:t xml:space="preserve"> de petróleo, de los cuales el 86,2% proviene de áreas operadas por YPF. En cuanto a la actividad operada se pusieron en producción 8 nuevos pozos en Estación Fernández Oro.</w:t>
      </w:r>
    </w:p>
    <w:p w14:paraId="04888CA4" w14:textId="6916372C" w:rsidR="008555E7" w:rsidRPr="004B2FCB" w:rsidRDefault="001D5FEE" w:rsidP="00485C1E">
      <w:pPr>
        <w:spacing w:line="288" w:lineRule="auto"/>
        <w:jc w:val="both"/>
        <w:rPr>
          <w:rFonts w:ascii="Arial" w:hAnsi="Arial" w:cs="Arial"/>
          <w:spacing w:val="-3"/>
          <w:lang w:val="es-AR"/>
        </w:rPr>
      </w:pPr>
      <w:r w:rsidRPr="00CE599C">
        <w:rPr>
          <w:rFonts w:ascii="Arial" w:hAnsi="Arial" w:cs="Arial"/>
          <w:spacing w:val="-3"/>
          <w:lang w:val="es-AR"/>
        </w:rPr>
        <w:t xml:space="preserve">En materia de los </w:t>
      </w:r>
      <w:r w:rsidRPr="004A735A">
        <w:rPr>
          <w:rFonts w:ascii="Arial" w:hAnsi="Arial" w:cs="Arial"/>
          <w:spacing w:val="-3"/>
          <w:lang w:val="es-AR"/>
        </w:rPr>
        <w:t xml:space="preserve">costos </w:t>
      </w:r>
      <w:r w:rsidR="00176793" w:rsidRPr="004A735A">
        <w:rPr>
          <w:rFonts w:ascii="Arial" w:hAnsi="Arial" w:cs="Arial"/>
          <w:spacing w:val="-3"/>
          <w:lang w:val="es-AR"/>
        </w:rPr>
        <w:t xml:space="preserve">operativos </w:t>
      </w:r>
      <w:r w:rsidRPr="004A735A">
        <w:rPr>
          <w:rFonts w:ascii="Arial" w:hAnsi="Arial" w:cs="Arial"/>
          <w:spacing w:val="-3"/>
          <w:lang w:val="es-AR"/>
        </w:rPr>
        <w:t>totales</w:t>
      </w:r>
      <w:r w:rsidR="00193A8B">
        <w:rPr>
          <w:rFonts w:ascii="Arial" w:hAnsi="Arial" w:cs="Arial"/>
          <w:spacing w:val="-3"/>
          <w:lang w:val="es-AR"/>
        </w:rPr>
        <w:t xml:space="preserve"> (excluyendo los gastos de exploración)</w:t>
      </w:r>
      <w:r w:rsidRPr="004A735A">
        <w:rPr>
          <w:rFonts w:ascii="Arial" w:hAnsi="Arial" w:cs="Arial"/>
          <w:spacing w:val="-3"/>
          <w:lang w:val="es-AR"/>
        </w:rPr>
        <w:t xml:space="preserve"> se observó </w:t>
      </w:r>
      <w:r w:rsidRPr="00CE599C">
        <w:rPr>
          <w:rFonts w:ascii="Arial" w:hAnsi="Arial" w:cs="Arial"/>
          <w:spacing w:val="-3"/>
          <w:lang w:val="es-AR"/>
        </w:rPr>
        <w:t xml:space="preserve">en el </w:t>
      </w:r>
      <w:r w:rsidR="00A14637">
        <w:rPr>
          <w:rFonts w:ascii="Arial" w:hAnsi="Arial" w:cs="Arial"/>
          <w:spacing w:val="-3"/>
          <w:lang w:val="es-AR"/>
        </w:rPr>
        <w:t>segundo</w:t>
      </w:r>
      <w:r w:rsidR="008222FB">
        <w:rPr>
          <w:rFonts w:ascii="Arial" w:hAnsi="Arial" w:cs="Arial"/>
          <w:spacing w:val="-3"/>
          <w:lang w:val="es-AR"/>
        </w:rPr>
        <w:t xml:space="preserve"> </w:t>
      </w:r>
      <w:r w:rsidR="00BF2527">
        <w:rPr>
          <w:rFonts w:ascii="Arial" w:hAnsi="Arial" w:cs="Arial"/>
          <w:spacing w:val="-3"/>
          <w:lang w:val="es-AR"/>
        </w:rPr>
        <w:t>trimestre de 201</w:t>
      </w:r>
      <w:r w:rsidR="008222FB">
        <w:rPr>
          <w:rFonts w:ascii="Arial" w:hAnsi="Arial" w:cs="Arial"/>
          <w:spacing w:val="-3"/>
          <w:lang w:val="es-AR"/>
        </w:rPr>
        <w:t>9</w:t>
      </w:r>
      <w:r w:rsidRPr="00CE599C">
        <w:rPr>
          <w:rFonts w:ascii="Arial" w:hAnsi="Arial" w:cs="Arial"/>
          <w:spacing w:val="-3"/>
          <w:lang w:val="es-AR"/>
        </w:rPr>
        <w:t xml:space="preserve"> un incremento</w:t>
      </w:r>
      <w:r w:rsidRPr="00B134D5">
        <w:rPr>
          <w:rFonts w:ascii="Arial" w:hAnsi="Arial" w:cs="Arial"/>
          <w:spacing w:val="-3"/>
          <w:lang w:val="es-AR"/>
        </w:rPr>
        <w:t xml:space="preserve"> del </w:t>
      </w:r>
      <w:r w:rsidR="00BE7D69">
        <w:rPr>
          <w:rFonts w:ascii="Arial" w:hAnsi="Arial" w:cs="Arial"/>
          <w:spacing w:val="-3"/>
          <w:lang w:val="es-AR"/>
        </w:rPr>
        <w:t>58,2</w:t>
      </w:r>
      <w:r w:rsidRPr="00F55D5C">
        <w:rPr>
          <w:rFonts w:ascii="Arial" w:hAnsi="Arial" w:cs="Arial"/>
          <w:spacing w:val="-3"/>
          <w:lang w:val="es-AR"/>
        </w:rPr>
        <w:t xml:space="preserve">%, alcanzando los </w:t>
      </w:r>
      <w:proofErr w:type="spellStart"/>
      <w:r w:rsidRPr="00F55D5C">
        <w:rPr>
          <w:rFonts w:ascii="Arial" w:hAnsi="Arial" w:cs="Arial"/>
          <w:spacing w:val="-3"/>
          <w:lang w:val="es-AR"/>
        </w:rPr>
        <w:t>Ps</w:t>
      </w:r>
      <w:proofErr w:type="spellEnd"/>
      <w:r w:rsidRPr="00F55D5C">
        <w:rPr>
          <w:rFonts w:ascii="Arial" w:hAnsi="Arial" w:cs="Arial"/>
          <w:spacing w:val="-3"/>
          <w:lang w:val="es-AR"/>
        </w:rPr>
        <w:t xml:space="preserve"> </w:t>
      </w:r>
      <w:r w:rsidR="00BE7D69">
        <w:rPr>
          <w:rFonts w:ascii="Arial" w:hAnsi="Arial" w:cs="Arial"/>
          <w:spacing w:val="-3"/>
          <w:lang w:val="es-AR"/>
        </w:rPr>
        <w:t>68,5</w:t>
      </w:r>
      <w:r w:rsidR="00291DB7">
        <w:rPr>
          <w:rFonts w:ascii="Arial" w:hAnsi="Arial" w:cs="Arial"/>
          <w:spacing w:val="-3"/>
          <w:lang w:val="es-AR"/>
        </w:rPr>
        <w:t xml:space="preserve"> </w:t>
      </w:r>
      <w:r w:rsidR="00291DB7" w:rsidRPr="00F55D5C">
        <w:rPr>
          <w:rFonts w:ascii="Arial" w:hAnsi="Arial" w:cs="Arial"/>
          <w:spacing w:val="-3"/>
          <w:lang w:val="es-AR"/>
        </w:rPr>
        <w:t>MM.</w:t>
      </w:r>
      <w:r w:rsidRPr="00F55D5C">
        <w:rPr>
          <w:rFonts w:ascii="Arial" w:hAnsi="Arial" w:cs="Arial"/>
          <w:spacing w:val="-3"/>
          <w:lang w:val="es-AR"/>
        </w:rPr>
        <w:t xml:space="preserve"> Se destacan dentro de esta variación:</w:t>
      </w:r>
    </w:p>
    <w:p w14:paraId="76C6159D" w14:textId="27F235F0" w:rsidR="00EE03E3" w:rsidRPr="004E7EB4" w:rsidDel="00A06AE0" w:rsidRDefault="00EE03E3" w:rsidP="00485C1E">
      <w:pPr>
        <w:numPr>
          <w:ilvl w:val="0"/>
          <w:numId w:val="5"/>
        </w:numPr>
        <w:spacing w:after="120" w:line="288" w:lineRule="auto"/>
        <w:ind w:left="993" w:hanging="284"/>
        <w:jc w:val="both"/>
        <w:rPr>
          <w:rFonts w:ascii="Arial" w:hAnsi="Arial" w:cs="Arial"/>
          <w:w w:val="0"/>
          <w:lang w:val="es-AR"/>
        </w:rPr>
      </w:pPr>
      <w:r w:rsidDel="00A06AE0">
        <w:rPr>
          <w:rFonts w:ascii="Arial" w:hAnsi="Arial" w:cs="Arial"/>
          <w:w w:val="0"/>
          <w:lang w:val="es-AR"/>
        </w:rPr>
        <w:t>L</w:t>
      </w:r>
      <w:r w:rsidRPr="00D44B02" w:rsidDel="00A06AE0">
        <w:rPr>
          <w:rFonts w:ascii="Arial" w:hAnsi="Arial" w:cs="Arial"/>
          <w:w w:val="0"/>
          <w:lang w:val="es-AR"/>
        </w:rPr>
        <w:t>as depreciaciones de propiedades, planta y equipo</w:t>
      </w:r>
      <w:r w:rsidDel="00A06AE0">
        <w:rPr>
          <w:rFonts w:ascii="Arial" w:hAnsi="Arial" w:cs="Arial"/>
          <w:w w:val="0"/>
          <w:lang w:val="es-AR"/>
        </w:rPr>
        <w:t xml:space="preserve"> del </w:t>
      </w:r>
      <w:r w:rsidR="00A14637">
        <w:rPr>
          <w:rFonts w:ascii="Arial" w:hAnsi="Arial" w:cs="Arial"/>
          <w:w w:val="0"/>
          <w:lang w:val="es-AR"/>
        </w:rPr>
        <w:t>segundo</w:t>
      </w:r>
      <w:r w:rsidR="008222FB" w:rsidDel="00A06AE0">
        <w:rPr>
          <w:rFonts w:ascii="Arial" w:hAnsi="Arial" w:cs="Arial"/>
          <w:w w:val="0"/>
          <w:lang w:val="es-AR"/>
        </w:rPr>
        <w:t xml:space="preserve"> trimestre 2019</w:t>
      </w:r>
      <w:r w:rsidRPr="00D44B02" w:rsidDel="00A06AE0">
        <w:rPr>
          <w:rFonts w:ascii="Arial" w:hAnsi="Arial" w:cs="Arial"/>
          <w:w w:val="0"/>
          <w:lang w:val="es-AR"/>
        </w:rPr>
        <w:t xml:space="preserve"> </w:t>
      </w:r>
      <w:r w:rsidR="00DC356C" w:rsidDel="00A06AE0">
        <w:rPr>
          <w:rFonts w:ascii="Arial" w:hAnsi="Arial" w:cs="Arial"/>
          <w:w w:val="0"/>
          <w:lang w:val="es-AR"/>
        </w:rPr>
        <w:t xml:space="preserve">ascendieron a </w:t>
      </w:r>
      <w:proofErr w:type="spellStart"/>
      <w:r w:rsidR="00DC356C" w:rsidDel="00A06AE0">
        <w:rPr>
          <w:rFonts w:ascii="Arial" w:hAnsi="Arial" w:cs="Arial"/>
          <w:w w:val="0"/>
          <w:lang w:val="es-AR"/>
        </w:rPr>
        <w:t>Ps</w:t>
      </w:r>
      <w:proofErr w:type="spellEnd"/>
      <w:r w:rsidR="00DC356C" w:rsidDel="00A06AE0">
        <w:rPr>
          <w:rFonts w:ascii="Arial" w:hAnsi="Arial" w:cs="Arial"/>
          <w:w w:val="0"/>
          <w:lang w:val="es-AR"/>
        </w:rPr>
        <w:t xml:space="preserve"> </w:t>
      </w:r>
      <w:r w:rsidR="000308FF">
        <w:rPr>
          <w:rFonts w:ascii="Arial" w:hAnsi="Arial" w:cs="Arial"/>
          <w:w w:val="0"/>
          <w:lang w:val="es-AR"/>
        </w:rPr>
        <w:t>27,9</w:t>
      </w:r>
      <w:r w:rsidR="00BE7D69">
        <w:rPr>
          <w:rFonts w:ascii="Arial" w:hAnsi="Arial" w:cs="Arial"/>
          <w:w w:val="0"/>
          <w:lang w:val="es-AR"/>
        </w:rPr>
        <w:t xml:space="preserve"> MM en comparación a los </w:t>
      </w:r>
      <w:proofErr w:type="spellStart"/>
      <w:r w:rsidR="00BE7D69">
        <w:rPr>
          <w:rFonts w:ascii="Arial" w:hAnsi="Arial" w:cs="Arial"/>
          <w:w w:val="0"/>
          <w:lang w:val="es-AR"/>
        </w:rPr>
        <w:t>Ps</w:t>
      </w:r>
      <w:proofErr w:type="spellEnd"/>
      <w:r w:rsidR="00BE7D69">
        <w:rPr>
          <w:rFonts w:ascii="Arial" w:hAnsi="Arial" w:cs="Arial"/>
          <w:w w:val="0"/>
          <w:lang w:val="es-AR"/>
        </w:rPr>
        <w:t xml:space="preserve"> 19,7</w:t>
      </w:r>
      <w:r w:rsidDel="00A06AE0">
        <w:rPr>
          <w:rFonts w:ascii="Arial" w:hAnsi="Arial" w:cs="Arial"/>
          <w:w w:val="0"/>
          <w:lang w:val="es-AR"/>
        </w:rPr>
        <w:t xml:space="preserve"> MM del </w:t>
      </w:r>
      <w:r w:rsidR="00A21369">
        <w:rPr>
          <w:rFonts w:ascii="Arial" w:hAnsi="Arial" w:cs="Arial"/>
          <w:w w:val="0"/>
          <w:lang w:val="es-AR"/>
        </w:rPr>
        <w:t xml:space="preserve">segundo </w:t>
      </w:r>
      <w:r w:rsidR="008222FB" w:rsidDel="00A06AE0">
        <w:rPr>
          <w:rFonts w:ascii="Arial" w:hAnsi="Arial" w:cs="Arial"/>
          <w:w w:val="0"/>
          <w:lang w:val="es-AR"/>
        </w:rPr>
        <w:t>trimestre 2018</w:t>
      </w:r>
      <w:r w:rsidDel="00A06AE0">
        <w:rPr>
          <w:rFonts w:ascii="Arial" w:hAnsi="Arial" w:cs="Arial"/>
          <w:w w:val="0"/>
          <w:lang w:val="es-AR"/>
        </w:rPr>
        <w:t>, lo que representa un incremento de</w:t>
      </w:r>
      <w:r w:rsidRPr="00D44B02" w:rsidDel="00A06AE0">
        <w:rPr>
          <w:rFonts w:ascii="Arial" w:hAnsi="Arial" w:cs="Arial"/>
          <w:w w:val="0"/>
          <w:lang w:val="es-AR"/>
        </w:rPr>
        <w:t xml:space="preserve"> </w:t>
      </w:r>
      <w:proofErr w:type="spellStart"/>
      <w:r w:rsidR="00DC356C" w:rsidDel="00A06AE0">
        <w:rPr>
          <w:rFonts w:ascii="Arial" w:hAnsi="Arial" w:cs="Arial"/>
          <w:w w:val="0"/>
          <w:lang w:val="es-AR"/>
        </w:rPr>
        <w:t>Ps</w:t>
      </w:r>
      <w:proofErr w:type="spellEnd"/>
      <w:r w:rsidR="00DC356C" w:rsidDel="00A06AE0">
        <w:rPr>
          <w:rFonts w:ascii="Arial" w:hAnsi="Arial" w:cs="Arial"/>
          <w:w w:val="0"/>
          <w:lang w:val="es-AR"/>
        </w:rPr>
        <w:t xml:space="preserve"> </w:t>
      </w:r>
      <w:r w:rsidR="000308FF">
        <w:rPr>
          <w:rFonts w:ascii="Arial" w:hAnsi="Arial" w:cs="Arial"/>
          <w:w w:val="0"/>
          <w:lang w:val="es-AR"/>
        </w:rPr>
        <w:t>8,2</w:t>
      </w:r>
      <w:r w:rsidDel="00A06AE0">
        <w:rPr>
          <w:rFonts w:ascii="Arial" w:hAnsi="Arial" w:cs="Arial"/>
          <w:w w:val="0"/>
          <w:lang w:val="es-AR"/>
        </w:rPr>
        <w:t xml:space="preserve"> MM</w:t>
      </w:r>
      <w:r w:rsidRPr="00D44B02" w:rsidDel="00A06AE0">
        <w:rPr>
          <w:rFonts w:ascii="Arial" w:hAnsi="Arial" w:cs="Arial"/>
          <w:w w:val="0"/>
          <w:lang w:val="es-AR"/>
        </w:rPr>
        <w:t xml:space="preserve">, o </w:t>
      </w:r>
      <w:r w:rsidR="000308FF">
        <w:rPr>
          <w:rFonts w:ascii="Arial" w:hAnsi="Arial" w:cs="Arial"/>
          <w:w w:val="0"/>
          <w:lang w:val="es-AR"/>
        </w:rPr>
        <w:t>41</w:t>
      </w:r>
      <w:r w:rsidR="00BE7D69">
        <w:rPr>
          <w:rFonts w:ascii="Arial" w:hAnsi="Arial" w:cs="Arial"/>
          <w:w w:val="0"/>
          <w:lang w:val="es-AR"/>
        </w:rPr>
        <w:t>,7</w:t>
      </w:r>
      <w:r w:rsidRPr="00D44B02" w:rsidDel="00A06AE0">
        <w:rPr>
          <w:rFonts w:ascii="Arial" w:hAnsi="Arial" w:cs="Arial"/>
          <w:w w:val="0"/>
          <w:lang w:val="es-AR"/>
        </w:rPr>
        <w:t>%,</w:t>
      </w:r>
      <w:r w:rsidR="00B84389" w:rsidRPr="00B84389">
        <w:rPr>
          <w:rFonts w:ascii="Arial" w:hAnsi="Arial"/>
          <w:lang w:val="es-AR"/>
        </w:rPr>
        <w:t xml:space="preserve"> </w:t>
      </w:r>
      <w:r w:rsidR="00B84389" w:rsidRPr="00F1692D">
        <w:rPr>
          <w:rFonts w:ascii="Arial" w:hAnsi="Arial"/>
          <w:lang w:val="es-AR"/>
        </w:rPr>
        <w:t xml:space="preserve">debido fundamentalmente a la apreciación de los activos </w:t>
      </w:r>
      <w:r w:rsidR="00B84389" w:rsidRPr="00F1692D">
        <w:rPr>
          <w:rFonts w:ascii="Arial" w:hAnsi="Arial"/>
          <w:lang w:val="es-AR"/>
        </w:rPr>
        <w:lastRenderedPageBreak/>
        <w:t xml:space="preserve">teniendo en cuenta su valuación en dólares históricos según la moneda funcional de la </w:t>
      </w:r>
      <w:r w:rsidR="00B84389">
        <w:rPr>
          <w:rFonts w:ascii="Arial" w:hAnsi="Arial"/>
          <w:lang w:val="es-AR"/>
        </w:rPr>
        <w:t>Compañía</w:t>
      </w:r>
      <w:r w:rsidR="00B84389" w:rsidRPr="00F1692D">
        <w:rPr>
          <w:rFonts w:ascii="Arial" w:hAnsi="Arial"/>
          <w:lang w:val="es-AR"/>
        </w:rPr>
        <w:t xml:space="preserve">, compensando parcialmente por una </w:t>
      </w:r>
      <w:r w:rsidR="00B84389" w:rsidRPr="00B84389">
        <w:rPr>
          <w:rFonts w:ascii="Arial" w:hAnsi="Arial"/>
          <w:lang w:val="es-AR"/>
        </w:rPr>
        <w:t>disminución en el coeficiente de amortización producto de la incorporación de reservas ocurrida durante el año 2018</w:t>
      </w:r>
      <w:r w:rsidR="002A4980" w:rsidRPr="00B84389">
        <w:rPr>
          <w:rFonts w:ascii="Arial" w:hAnsi="Arial" w:cs="Arial"/>
          <w:w w:val="0"/>
          <w:lang w:val="es-AR"/>
        </w:rPr>
        <w:t>;</w:t>
      </w:r>
    </w:p>
    <w:p w14:paraId="1DE88B3A" w14:textId="194E5FCC" w:rsidR="00A06AE0" w:rsidRPr="001E2310" w:rsidRDefault="004E7EB4" w:rsidP="001E2310">
      <w:pPr>
        <w:numPr>
          <w:ilvl w:val="0"/>
          <w:numId w:val="5"/>
        </w:numPr>
        <w:spacing w:after="120" w:line="288" w:lineRule="auto"/>
        <w:ind w:left="993" w:hanging="284"/>
        <w:jc w:val="both"/>
        <w:rPr>
          <w:rFonts w:ascii="Arial" w:hAnsi="Arial" w:cs="Arial"/>
          <w:w w:val="0"/>
          <w:lang w:val="es-AR"/>
        </w:rPr>
      </w:pPr>
      <w:r>
        <w:rPr>
          <w:rFonts w:ascii="Arial" w:hAnsi="Arial" w:cs="Arial"/>
          <w:w w:val="0"/>
          <w:lang w:val="es-AR"/>
        </w:rPr>
        <w:t>Los</w:t>
      </w:r>
      <w:r w:rsidRPr="00D44B02">
        <w:rPr>
          <w:rFonts w:ascii="Arial" w:hAnsi="Arial" w:cs="Arial"/>
          <w:w w:val="0"/>
          <w:lang w:val="es-AR"/>
        </w:rPr>
        <w:t xml:space="preserve"> conceptos relacionados al costo de extracción (“</w:t>
      </w:r>
      <w:proofErr w:type="gramStart"/>
      <w:r w:rsidRPr="00D44B02">
        <w:rPr>
          <w:rFonts w:ascii="Arial" w:hAnsi="Arial" w:cs="Arial"/>
          <w:w w:val="0"/>
          <w:lang w:val="es-AR"/>
        </w:rPr>
        <w:t>lifting</w:t>
      </w:r>
      <w:proofErr w:type="gramEnd"/>
      <w:r w:rsidRPr="00D44B02">
        <w:rPr>
          <w:rFonts w:ascii="Arial" w:hAnsi="Arial" w:cs="Arial"/>
          <w:w w:val="0"/>
          <w:lang w:val="es-AR"/>
        </w:rPr>
        <w:t xml:space="preserve"> </w:t>
      </w:r>
      <w:proofErr w:type="spellStart"/>
      <w:r w:rsidRPr="00D44B02">
        <w:rPr>
          <w:rFonts w:ascii="Arial" w:hAnsi="Arial" w:cs="Arial"/>
          <w:w w:val="0"/>
          <w:lang w:val="es-AR"/>
        </w:rPr>
        <w:t>cost</w:t>
      </w:r>
      <w:proofErr w:type="spellEnd"/>
      <w:r w:rsidRPr="00D44B02">
        <w:rPr>
          <w:rFonts w:ascii="Arial" w:hAnsi="Arial" w:cs="Arial"/>
          <w:w w:val="0"/>
          <w:lang w:val="es-AR"/>
        </w:rPr>
        <w:t>”)</w:t>
      </w:r>
      <w:r>
        <w:rPr>
          <w:rFonts w:ascii="Arial" w:hAnsi="Arial" w:cs="Arial"/>
          <w:w w:val="0"/>
          <w:lang w:val="es-AR"/>
        </w:rPr>
        <w:t xml:space="preserve"> del </w:t>
      </w:r>
      <w:r w:rsidR="005114E6">
        <w:rPr>
          <w:rFonts w:ascii="Arial" w:hAnsi="Arial" w:cs="Arial"/>
          <w:w w:val="0"/>
          <w:lang w:val="es-AR"/>
        </w:rPr>
        <w:t>segundo</w:t>
      </w:r>
      <w:r>
        <w:rPr>
          <w:rFonts w:ascii="Arial" w:hAnsi="Arial" w:cs="Arial"/>
          <w:w w:val="0"/>
          <w:lang w:val="es-AR"/>
        </w:rPr>
        <w:t xml:space="preserve"> trimestre 2019 ascendieron a </w:t>
      </w:r>
      <w:proofErr w:type="spellStart"/>
      <w:r>
        <w:rPr>
          <w:rFonts w:ascii="Arial" w:hAnsi="Arial" w:cs="Arial"/>
          <w:w w:val="0"/>
          <w:lang w:val="es-AR"/>
        </w:rPr>
        <w:t>Ps</w:t>
      </w:r>
      <w:proofErr w:type="spellEnd"/>
      <w:r>
        <w:rPr>
          <w:rFonts w:ascii="Arial" w:hAnsi="Arial" w:cs="Arial"/>
          <w:w w:val="0"/>
          <w:lang w:val="es-AR"/>
        </w:rPr>
        <w:t xml:space="preserve"> </w:t>
      </w:r>
      <w:r w:rsidR="00BE7D69">
        <w:rPr>
          <w:rFonts w:ascii="Arial" w:hAnsi="Arial" w:cs="Arial"/>
          <w:w w:val="0"/>
          <w:lang w:val="es-AR"/>
        </w:rPr>
        <w:t>25,1</w:t>
      </w:r>
      <w:r>
        <w:rPr>
          <w:rFonts w:ascii="Arial" w:hAnsi="Arial" w:cs="Arial"/>
          <w:w w:val="0"/>
          <w:lang w:val="es-AR"/>
        </w:rPr>
        <w:t xml:space="preserve"> MM, siendo superiores en</w:t>
      </w:r>
      <w:r w:rsidRPr="00D44B02">
        <w:rPr>
          <w:rFonts w:ascii="Arial" w:hAnsi="Arial" w:cs="Arial"/>
          <w:w w:val="0"/>
          <w:lang w:val="es-AR"/>
        </w:rPr>
        <w:t xml:space="preserve"> </w:t>
      </w:r>
      <w:proofErr w:type="spellStart"/>
      <w:r>
        <w:rPr>
          <w:rFonts w:ascii="Arial" w:hAnsi="Arial" w:cs="Arial"/>
          <w:w w:val="0"/>
          <w:lang w:val="es-AR"/>
        </w:rPr>
        <w:t>Ps</w:t>
      </w:r>
      <w:proofErr w:type="spellEnd"/>
      <w:r>
        <w:rPr>
          <w:rFonts w:ascii="Arial" w:hAnsi="Arial" w:cs="Arial"/>
          <w:w w:val="0"/>
          <w:lang w:val="es-AR"/>
        </w:rPr>
        <w:t xml:space="preserve"> </w:t>
      </w:r>
      <w:r w:rsidR="000308FF">
        <w:rPr>
          <w:rFonts w:ascii="Arial" w:hAnsi="Arial" w:cs="Arial"/>
          <w:w w:val="0"/>
          <w:lang w:val="es-AR"/>
        </w:rPr>
        <w:t>12,1</w:t>
      </w:r>
      <w:r>
        <w:rPr>
          <w:rFonts w:ascii="Arial" w:hAnsi="Arial" w:cs="Arial"/>
          <w:w w:val="0"/>
          <w:lang w:val="es-AR"/>
        </w:rPr>
        <w:t xml:space="preserve"> MM, o </w:t>
      </w:r>
      <w:r w:rsidR="000308FF">
        <w:rPr>
          <w:rFonts w:ascii="Arial" w:hAnsi="Arial" w:cs="Arial"/>
          <w:w w:val="0"/>
          <w:lang w:val="es-AR"/>
        </w:rPr>
        <w:t>93,2</w:t>
      </w:r>
      <w:r w:rsidRPr="00D44B02">
        <w:rPr>
          <w:rFonts w:ascii="Arial" w:hAnsi="Arial" w:cs="Arial"/>
          <w:w w:val="0"/>
          <w:lang w:val="es-AR"/>
        </w:rPr>
        <w:t>%,</w:t>
      </w:r>
      <w:r>
        <w:rPr>
          <w:rFonts w:ascii="Arial" w:hAnsi="Arial" w:cs="Arial"/>
          <w:w w:val="0"/>
          <w:lang w:val="es-AR"/>
        </w:rPr>
        <w:t xml:space="preserve"> a los </w:t>
      </w:r>
      <w:proofErr w:type="spellStart"/>
      <w:r>
        <w:rPr>
          <w:rFonts w:ascii="Arial" w:hAnsi="Arial" w:cs="Arial"/>
          <w:w w:val="0"/>
          <w:lang w:val="es-AR"/>
        </w:rPr>
        <w:t>Ps</w:t>
      </w:r>
      <w:proofErr w:type="spellEnd"/>
      <w:r>
        <w:rPr>
          <w:rFonts w:ascii="Arial" w:hAnsi="Arial" w:cs="Arial"/>
          <w:w w:val="0"/>
          <w:lang w:val="es-AR"/>
        </w:rPr>
        <w:t xml:space="preserve"> </w:t>
      </w:r>
      <w:r w:rsidR="000308FF">
        <w:rPr>
          <w:rFonts w:ascii="Arial" w:hAnsi="Arial" w:cs="Arial"/>
          <w:w w:val="0"/>
          <w:lang w:val="es-AR"/>
        </w:rPr>
        <w:t>13,0</w:t>
      </w:r>
      <w:r>
        <w:rPr>
          <w:rFonts w:ascii="Arial" w:hAnsi="Arial" w:cs="Arial"/>
          <w:w w:val="0"/>
          <w:lang w:val="es-AR"/>
        </w:rPr>
        <w:t xml:space="preserve"> MM del </w:t>
      </w:r>
      <w:r w:rsidR="005114E6">
        <w:rPr>
          <w:rFonts w:ascii="Arial" w:hAnsi="Arial" w:cs="Arial"/>
          <w:w w:val="0"/>
          <w:lang w:val="es-AR"/>
        </w:rPr>
        <w:t xml:space="preserve">segundo </w:t>
      </w:r>
      <w:r>
        <w:rPr>
          <w:rFonts w:ascii="Arial" w:hAnsi="Arial" w:cs="Arial"/>
          <w:w w:val="0"/>
          <w:lang w:val="es-AR"/>
        </w:rPr>
        <w:t xml:space="preserve">trimestre </w:t>
      </w:r>
      <w:r w:rsidRPr="00A06AE0">
        <w:rPr>
          <w:rFonts w:ascii="Arial" w:hAnsi="Arial" w:cs="Arial"/>
          <w:w w:val="0"/>
          <w:lang w:val="es-AR"/>
        </w:rPr>
        <w:t>2018.</w:t>
      </w:r>
      <w:r w:rsidR="00A06AE0" w:rsidRPr="00A06AE0">
        <w:rPr>
          <w:rFonts w:ascii="Arial" w:hAnsi="Arial" w:cs="Arial"/>
          <w:w w:val="0"/>
          <w:lang w:val="es-AR"/>
        </w:rPr>
        <w:t xml:space="preserve"> </w:t>
      </w:r>
      <w:r w:rsidRPr="00A06AE0">
        <w:rPr>
          <w:rFonts w:ascii="Arial" w:hAnsi="Arial" w:cs="Arial"/>
          <w:w w:val="0"/>
          <w:lang w:val="es-AR"/>
        </w:rPr>
        <w:t xml:space="preserve"> </w:t>
      </w:r>
      <w:r w:rsidRPr="0058416B">
        <w:rPr>
          <w:rFonts w:ascii="Arial" w:hAnsi="Arial" w:cs="Arial"/>
          <w:w w:val="0"/>
          <w:lang w:val="es-AR"/>
        </w:rPr>
        <w:t xml:space="preserve">Por su parte, el incremento del indicador unitario, medido en pesos, fue del </w:t>
      </w:r>
      <w:r w:rsidR="000308FF">
        <w:rPr>
          <w:rFonts w:ascii="Arial" w:hAnsi="Arial" w:cs="Arial"/>
          <w:w w:val="0"/>
          <w:lang w:val="es-AR"/>
        </w:rPr>
        <w:t>100,6</w:t>
      </w:r>
      <w:r w:rsidRPr="0058416B">
        <w:rPr>
          <w:rFonts w:ascii="Arial" w:hAnsi="Arial" w:cs="Arial"/>
          <w:w w:val="0"/>
          <w:lang w:val="es-AR"/>
        </w:rPr>
        <w:t xml:space="preserve">%, </w:t>
      </w:r>
      <w:r w:rsidR="00BD2E3C" w:rsidRPr="007137F0">
        <w:rPr>
          <w:rFonts w:ascii="Arial" w:hAnsi="Arial" w:cs="Arial"/>
          <w:w w:val="0"/>
          <w:lang w:val="es-AR"/>
        </w:rPr>
        <w:t xml:space="preserve">en línea con el incremento general de precios de la economía e incrementado además por la mayor actividad de </w:t>
      </w:r>
      <w:proofErr w:type="spellStart"/>
      <w:r w:rsidR="00BD2E3C" w:rsidRPr="007137F0">
        <w:rPr>
          <w:rFonts w:ascii="Arial" w:hAnsi="Arial" w:cs="Arial"/>
          <w:w w:val="0"/>
          <w:lang w:val="es-AR"/>
        </w:rPr>
        <w:t>workover</w:t>
      </w:r>
      <w:proofErr w:type="spellEnd"/>
      <w:r w:rsidR="00BD2E3C" w:rsidRPr="007137F0">
        <w:rPr>
          <w:rFonts w:ascii="Arial" w:hAnsi="Arial" w:cs="Arial"/>
          <w:w w:val="0"/>
          <w:lang w:val="es-AR"/>
        </w:rPr>
        <w:t xml:space="preserve"> tendiente a mejorar la performance de producción de ciertos campos maduros, ponderado por la disminución de producción antes comentada</w:t>
      </w:r>
      <w:r w:rsidR="00BD2E3C">
        <w:rPr>
          <w:rFonts w:ascii="Arial" w:hAnsi="Arial" w:cs="Arial"/>
          <w:w w:val="0"/>
          <w:lang w:val="es-AR"/>
        </w:rPr>
        <w:t>;</w:t>
      </w:r>
    </w:p>
    <w:p w14:paraId="27924766" w14:textId="64B1AF59" w:rsidR="006312C8" w:rsidRPr="00BC5D32" w:rsidRDefault="00E97F94" w:rsidP="00485C1E">
      <w:pPr>
        <w:numPr>
          <w:ilvl w:val="0"/>
          <w:numId w:val="5"/>
        </w:numPr>
        <w:spacing w:after="120" w:line="288" w:lineRule="auto"/>
        <w:ind w:left="993" w:hanging="284"/>
        <w:jc w:val="both"/>
        <w:rPr>
          <w:rFonts w:ascii="Arial" w:hAnsi="Arial" w:cs="Arial"/>
          <w:w w:val="0"/>
          <w:lang w:val="es-AR"/>
        </w:rPr>
      </w:pPr>
      <w:r w:rsidRPr="00BC5D32">
        <w:rPr>
          <w:rFonts w:ascii="Arial" w:hAnsi="Arial" w:cs="Arial"/>
          <w:w w:val="0"/>
          <w:lang w:val="es-AR"/>
        </w:rPr>
        <w:t>Las</w:t>
      </w:r>
      <w:r w:rsidR="006312C8" w:rsidRPr="00BC5D32">
        <w:rPr>
          <w:rFonts w:ascii="Arial" w:hAnsi="Arial" w:cs="Arial"/>
          <w:w w:val="0"/>
          <w:lang w:val="es-AR"/>
        </w:rPr>
        <w:t xml:space="preserve"> regalías y otros cargos asociados a la producción</w:t>
      </w:r>
      <w:r w:rsidRPr="00BC5D32">
        <w:rPr>
          <w:rFonts w:ascii="Arial" w:hAnsi="Arial" w:cs="Arial"/>
          <w:w w:val="0"/>
          <w:lang w:val="es-AR"/>
        </w:rPr>
        <w:t xml:space="preserve"> del </w:t>
      </w:r>
      <w:r w:rsidR="00166A3A" w:rsidRPr="00BC5D32">
        <w:rPr>
          <w:rFonts w:ascii="Arial" w:hAnsi="Arial" w:cs="Arial"/>
          <w:w w:val="0"/>
          <w:lang w:val="es-AR"/>
        </w:rPr>
        <w:t>segundo</w:t>
      </w:r>
      <w:r w:rsidRPr="00BC5D32">
        <w:rPr>
          <w:rFonts w:ascii="Arial" w:hAnsi="Arial" w:cs="Arial"/>
          <w:w w:val="0"/>
          <w:lang w:val="es-AR"/>
        </w:rPr>
        <w:t xml:space="preserve"> trim</w:t>
      </w:r>
      <w:r w:rsidR="008222FB" w:rsidRPr="00BC5D32">
        <w:rPr>
          <w:rFonts w:ascii="Arial" w:hAnsi="Arial" w:cs="Arial"/>
          <w:w w:val="0"/>
          <w:lang w:val="es-AR"/>
        </w:rPr>
        <w:t>estre 2019</w:t>
      </w:r>
      <w:r w:rsidR="00B12BCF" w:rsidRPr="00BC5D32">
        <w:rPr>
          <w:rFonts w:ascii="Arial" w:hAnsi="Arial" w:cs="Arial"/>
          <w:w w:val="0"/>
          <w:lang w:val="es-AR"/>
        </w:rPr>
        <w:t xml:space="preserve"> alcanzaron los </w:t>
      </w:r>
      <w:proofErr w:type="spellStart"/>
      <w:r w:rsidR="00B12BCF" w:rsidRPr="00BC5D32">
        <w:rPr>
          <w:rFonts w:ascii="Arial" w:hAnsi="Arial" w:cs="Arial"/>
          <w:w w:val="0"/>
          <w:lang w:val="es-AR"/>
        </w:rPr>
        <w:t>Ps</w:t>
      </w:r>
      <w:proofErr w:type="spellEnd"/>
      <w:r w:rsidR="00B12BCF" w:rsidRPr="00BC5D32">
        <w:rPr>
          <w:rFonts w:ascii="Arial" w:hAnsi="Arial" w:cs="Arial"/>
          <w:w w:val="0"/>
          <w:lang w:val="es-AR"/>
        </w:rPr>
        <w:t xml:space="preserve"> 10,4 MM en comparación a los </w:t>
      </w:r>
      <w:proofErr w:type="spellStart"/>
      <w:r w:rsidR="00B12BCF" w:rsidRPr="00BC5D32">
        <w:rPr>
          <w:rFonts w:ascii="Arial" w:hAnsi="Arial" w:cs="Arial"/>
          <w:w w:val="0"/>
          <w:lang w:val="es-AR"/>
        </w:rPr>
        <w:t>Ps</w:t>
      </w:r>
      <w:proofErr w:type="spellEnd"/>
      <w:r w:rsidR="00B12BCF" w:rsidRPr="00BC5D32">
        <w:rPr>
          <w:rFonts w:ascii="Arial" w:hAnsi="Arial" w:cs="Arial"/>
          <w:w w:val="0"/>
          <w:lang w:val="es-AR"/>
        </w:rPr>
        <w:t xml:space="preserve"> 7,3</w:t>
      </w:r>
      <w:r w:rsidR="008222FB" w:rsidRPr="00BC5D32">
        <w:rPr>
          <w:rFonts w:ascii="Arial" w:hAnsi="Arial" w:cs="Arial"/>
          <w:w w:val="0"/>
          <w:lang w:val="es-AR"/>
        </w:rPr>
        <w:t xml:space="preserve"> MM del </w:t>
      </w:r>
      <w:r w:rsidR="00166A3A" w:rsidRPr="00BC5D32">
        <w:rPr>
          <w:rFonts w:ascii="Arial" w:hAnsi="Arial" w:cs="Arial"/>
          <w:w w:val="0"/>
          <w:lang w:val="es-AR"/>
        </w:rPr>
        <w:t>segundo</w:t>
      </w:r>
      <w:r w:rsidR="008222FB" w:rsidRPr="00BC5D32">
        <w:rPr>
          <w:rFonts w:ascii="Arial" w:hAnsi="Arial" w:cs="Arial"/>
          <w:w w:val="0"/>
          <w:lang w:val="es-AR"/>
        </w:rPr>
        <w:t xml:space="preserve"> </w:t>
      </w:r>
      <w:r w:rsidRPr="00BC5D32">
        <w:rPr>
          <w:rFonts w:ascii="Arial" w:hAnsi="Arial" w:cs="Arial"/>
          <w:w w:val="0"/>
          <w:lang w:val="es-AR"/>
        </w:rPr>
        <w:t>trimes</w:t>
      </w:r>
      <w:r w:rsidR="00435603" w:rsidRPr="00BC5D32">
        <w:rPr>
          <w:rFonts w:ascii="Arial" w:hAnsi="Arial" w:cs="Arial"/>
          <w:w w:val="0"/>
          <w:lang w:val="es-AR"/>
        </w:rPr>
        <w:t>t</w:t>
      </w:r>
      <w:r w:rsidRPr="00BC5D32">
        <w:rPr>
          <w:rFonts w:ascii="Arial" w:hAnsi="Arial" w:cs="Arial"/>
          <w:w w:val="0"/>
          <w:lang w:val="es-AR"/>
        </w:rPr>
        <w:t>re 2018, lo que representa un incremento de</w:t>
      </w:r>
      <w:r w:rsidR="006312C8" w:rsidRPr="00BC5D32">
        <w:rPr>
          <w:rFonts w:ascii="Arial" w:hAnsi="Arial" w:cs="Arial"/>
          <w:w w:val="0"/>
          <w:lang w:val="es-AR"/>
        </w:rPr>
        <w:t xml:space="preserve"> </w:t>
      </w:r>
      <w:proofErr w:type="spellStart"/>
      <w:r w:rsidRPr="00BC5D32">
        <w:rPr>
          <w:rFonts w:ascii="Arial" w:hAnsi="Arial" w:cs="Arial"/>
          <w:w w:val="0"/>
          <w:lang w:val="es-AR"/>
        </w:rPr>
        <w:t>Ps</w:t>
      </w:r>
      <w:proofErr w:type="spellEnd"/>
      <w:r w:rsidRPr="00BC5D32">
        <w:rPr>
          <w:rFonts w:ascii="Arial" w:hAnsi="Arial" w:cs="Arial"/>
          <w:w w:val="0"/>
          <w:lang w:val="es-AR"/>
        </w:rPr>
        <w:t xml:space="preserve"> </w:t>
      </w:r>
      <w:r w:rsidR="00B12BCF" w:rsidRPr="00BC5D32">
        <w:rPr>
          <w:rFonts w:ascii="Arial" w:hAnsi="Arial" w:cs="Arial"/>
          <w:w w:val="0"/>
          <w:lang w:val="es-AR"/>
        </w:rPr>
        <w:t>3,1</w:t>
      </w:r>
      <w:r w:rsidR="006312C8" w:rsidRPr="00BC5D32">
        <w:rPr>
          <w:rFonts w:ascii="Arial" w:hAnsi="Arial" w:cs="Arial"/>
          <w:w w:val="0"/>
          <w:lang w:val="es-AR"/>
        </w:rPr>
        <w:t xml:space="preserve"> MM</w:t>
      </w:r>
      <w:r w:rsidR="00B12BCF" w:rsidRPr="00BC5D32">
        <w:rPr>
          <w:rFonts w:ascii="Arial" w:hAnsi="Arial" w:cs="Arial"/>
          <w:w w:val="0"/>
          <w:lang w:val="es-AR"/>
        </w:rPr>
        <w:t>, o 42,9</w:t>
      </w:r>
      <w:r w:rsidR="006312C8" w:rsidRPr="00BC5D32">
        <w:rPr>
          <w:rFonts w:ascii="Arial" w:hAnsi="Arial" w:cs="Arial"/>
          <w:w w:val="0"/>
          <w:lang w:val="es-AR"/>
        </w:rPr>
        <w:t>%</w:t>
      </w:r>
      <w:r w:rsidRPr="00BC5D32">
        <w:rPr>
          <w:rFonts w:ascii="Arial" w:hAnsi="Arial" w:cs="Arial"/>
          <w:w w:val="0"/>
          <w:lang w:val="es-AR"/>
        </w:rPr>
        <w:t>. Las regalías sobre la producción de petróleo crudo registraron</w:t>
      </w:r>
      <w:r w:rsidR="006312C8" w:rsidRPr="00BC5D32">
        <w:rPr>
          <w:rFonts w:ascii="Arial" w:hAnsi="Arial" w:cs="Arial"/>
          <w:w w:val="0"/>
          <w:lang w:val="es-AR"/>
        </w:rPr>
        <w:t xml:space="preserve"> un aumento de</w:t>
      </w:r>
      <w:r w:rsidR="00DC356C" w:rsidRPr="00BC5D32">
        <w:rPr>
          <w:rFonts w:ascii="Arial" w:hAnsi="Arial" w:cs="Arial"/>
          <w:w w:val="0"/>
          <w:lang w:val="es-AR"/>
        </w:rPr>
        <w:t xml:space="preserve"> </w:t>
      </w:r>
      <w:proofErr w:type="spellStart"/>
      <w:r w:rsidR="00DC356C" w:rsidRPr="00BC5D32">
        <w:rPr>
          <w:rFonts w:ascii="Arial" w:hAnsi="Arial" w:cs="Arial"/>
          <w:w w:val="0"/>
          <w:lang w:val="es-AR"/>
        </w:rPr>
        <w:t>Ps</w:t>
      </w:r>
      <w:proofErr w:type="spellEnd"/>
      <w:r w:rsidR="00DC356C" w:rsidRPr="00BC5D32">
        <w:rPr>
          <w:rFonts w:ascii="Arial" w:hAnsi="Arial" w:cs="Arial"/>
          <w:w w:val="0"/>
          <w:lang w:val="es-AR"/>
        </w:rPr>
        <w:t xml:space="preserve"> 2</w:t>
      </w:r>
      <w:r w:rsidR="008C6EF4">
        <w:rPr>
          <w:rFonts w:ascii="Arial" w:hAnsi="Arial" w:cs="Arial"/>
          <w:w w:val="0"/>
          <w:lang w:val="es-AR"/>
        </w:rPr>
        <w:t>,4</w:t>
      </w:r>
      <w:r w:rsidR="006312C8" w:rsidRPr="00BC5D32">
        <w:rPr>
          <w:rFonts w:ascii="Arial" w:hAnsi="Arial" w:cs="Arial"/>
          <w:w w:val="0"/>
          <w:lang w:val="es-AR"/>
        </w:rPr>
        <w:t xml:space="preserve"> MM</w:t>
      </w:r>
      <w:r w:rsidRPr="00BC5D32">
        <w:rPr>
          <w:rFonts w:ascii="Arial" w:hAnsi="Arial" w:cs="Arial"/>
          <w:w w:val="0"/>
          <w:lang w:val="es-AR"/>
        </w:rPr>
        <w:t>, mientras</w:t>
      </w:r>
      <w:r w:rsidR="006312C8" w:rsidRPr="00BC5D32">
        <w:rPr>
          <w:rFonts w:ascii="Arial" w:hAnsi="Arial" w:cs="Arial"/>
          <w:w w:val="0"/>
          <w:lang w:val="es-AR"/>
        </w:rPr>
        <w:t xml:space="preserve"> </w:t>
      </w:r>
      <w:r w:rsidRPr="00BC5D32">
        <w:rPr>
          <w:rFonts w:ascii="Arial" w:hAnsi="Arial" w:cs="Arial"/>
          <w:w w:val="0"/>
          <w:lang w:val="es-AR"/>
        </w:rPr>
        <w:t xml:space="preserve">que </w:t>
      </w:r>
      <w:r w:rsidR="006312C8" w:rsidRPr="00BC5D32">
        <w:rPr>
          <w:rFonts w:ascii="Arial" w:hAnsi="Arial" w:cs="Arial"/>
          <w:w w:val="0"/>
          <w:lang w:val="es-AR"/>
        </w:rPr>
        <w:t xml:space="preserve">las regalías </w:t>
      </w:r>
      <w:r w:rsidRPr="00BC5D32">
        <w:rPr>
          <w:rFonts w:ascii="Arial" w:hAnsi="Arial" w:cs="Arial"/>
          <w:w w:val="0"/>
          <w:lang w:val="es-AR"/>
        </w:rPr>
        <w:t>y otros cargos asociados a la producción de gas natural aumentaron en</w:t>
      </w:r>
      <w:r w:rsidR="006312C8" w:rsidRPr="00BC5D32">
        <w:rPr>
          <w:rFonts w:ascii="Arial" w:hAnsi="Arial" w:cs="Arial"/>
          <w:w w:val="0"/>
          <w:lang w:val="es-AR"/>
        </w:rPr>
        <w:t xml:space="preserve"> </w:t>
      </w:r>
      <w:proofErr w:type="spellStart"/>
      <w:r w:rsidR="00B12BCF" w:rsidRPr="00BC5D32">
        <w:rPr>
          <w:rFonts w:ascii="Arial" w:hAnsi="Arial" w:cs="Arial"/>
          <w:w w:val="0"/>
          <w:lang w:val="es-AR"/>
        </w:rPr>
        <w:t>Ps</w:t>
      </w:r>
      <w:proofErr w:type="spellEnd"/>
      <w:r w:rsidR="00B12BCF" w:rsidRPr="00BC5D32">
        <w:rPr>
          <w:rFonts w:ascii="Arial" w:hAnsi="Arial" w:cs="Arial"/>
          <w:w w:val="0"/>
          <w:lang w:val="es-AR"/>
        </w:rPr>
        <w:t xml:space="preserve"> 0,7</w:t>
      </w:r>
      <w:r w:rsidR="006312C8" w:rsidRPr="00BC5D32">
        <w:rPr>
          <w:rFonts w:ascii="Arial" w:hAnsi="Arial" w:cs="Arial"/>
          <w:w w:val="0"/>
          <w:lang w:val="es-AR"/>
        </w:rPr>
        <w:t xml:space="preserve"> MM</w:t>
      </w:r>
      <w:r w:rsidRPr="00BC5D32">
        <w:rPr>
          <w:rFonts w:ascii="Arial" w:hAnsi="Arial" w:cs="Arial"/>
          <w:w w:val="0"/>
          <w:lang w:val="es-AR"/>
        </w:rPr>
        <w:t xml:space="preserve">, </w:t>
      </w:r>
      <w:r w:rsidR="0057766D" w:rsidRPr="00BC5D32">
        <w:rPr>
          <w:rFonts w:ascii="Arial" w:hAnsi="Arial"/>
          <w:lang w:val="es-AR"/>
        </w:rPr>
        <w:t>en ambos casos por el mayor valor en boca de pozo de estos productos medido en pesos</w:t>
      </w:r>
      <w:r w:rsidR="0057766D" w:rsidRPr="00BC5D32">
        <w:rPr>
          <w:rFonts w:ascii="Arial" w:hAnsi="Arial" w:cs="Arial"/>
          <w:w w:val="0"/>
          <w:lang w:val="es-AR"/>
        </w:rPr>
        <w:t>, parcialmente afectadas a la baja a partir de la menor producción de gas natural en 2019</w:t>
      </w:r>
      <w:r w:rsidR="0057766D" w:rsidRPr="00BC5D32">
        <w:rPr>
          <w:rFonts w:ascii="Arial" w:hAnsi="Arial"/>
          <w:lang w:val="es-AR"/>
        </w:rPr>
        <w:t>;</w:t>
      </w:r>
    </w:p>
    <w:p w14:paraId="4E206A80" w14:textId="0AC1C7F8" w:rsidR="004515DC" w:rsidRPr="007137F0" w:rsidRDefault="000B45F4" w:rsidP="007137F0">
      <w:pPr>
        <w:pStyle w:val="BodyText"/>
        <w:numPr>
          <w:ilvl w:val="0"/>
          <w:numId w:val="18"/>
        </w:numPr>
        <w:spacing w:before="120" w:line="288" w:lineRule="auto"/>
        <w:ind w:left="987" w:hanging="284"/>
        <w:jc w:val="both"/>
        <w:rPr>
          <w:rFonts w:ascii="Arial" w:hAnsi="Arial"/>
          <w:lang w:val="es-AR"/>
        </w:rPr>
      </w:pPr>
      <w:r>
        <w:rPr>
          <w:rFonts w:ascii="Arial" w:hAnsi="Arial" w:cs="Arial"/>
          <w:w w:val="0"/>
          <w:lang w:val="es-AR"/>
        </w:rPr>
        <w:t>L</w:t>
      </w:r>
      <w:r w:rsidR="00D44B02" w:rsidRPr="00D44B02">
        <w:rPr>
          <w:rFonts w:ascii="Arial" w:hAnsi="Arial" w:cs="Arial"/>
          <w:w w:val="0"/>
          <w:lang w:val="es-AR"/>
        </w:rPr>
        <w:t xml:space="preserve">os costos de transporte vinculados a la producción (camión, oleoductos y poliductos en yacimientos) </w:t>
      </w:r>
      <w:r>
        <w:rPr>
          <w:rFonts w:ascii="Arial" w:hAnsi="Arial" w:cs="Arial"/>
          <w:w w:val="0"/>
          <w:lang w:val="es-AR"/>
        </w:rPr>
        <w:t>ascendieron en el</w:t>
      </w:r>
      <w:r w:rsidR="008222FB">
        <w:rPr>
          <w:rFonts w:ascii="Arial" w:hAnsi="Arial" w:cs="Arial"/>
          <w:w w:val="0"/>
          <w:lang w:val="es-AR"/>
        </w:rPr>
        <w:t xml:space="preserve"> </w:t>
      </w:r>
      <w:r w:rsidR="00166A3A">
        <w:rPr>
          <w:rFonts w:ascii="Arial" w:hAnsi="Arial" w:cs="Arial"/>
          <w:w w:val="0"/>
          <w:lang w:val="es-AR"/>
        </w:rPr>
        <w:t xml:space="preserve">segundo </w:t>
      </w:r>
      <w:r w:rsidR="008222FB">
        <w:rPr>
          <w:rFonts w:ascii="Arial" w:hAnsi="Arial" w:cs="Arial"/>
          <w:w w:val="0"/>
          <w:lang w:val="es-AR"/>
        </w:rPr>
        <w:t>trimestre de 2019</w:t>
      </w:r>
      <w:r w:rsidR="00B12BCF">
        <w:rPr>
          <w:rFonts w:ascii="Arial" w:hAnsi="Arial" w:cs="Arial"/>
          <w:w w:val="0"/>
          <w:lang w:val="es-AR"/>
        </w:rPr>
        <w:t xml:space="preserve"> a </w:t>
      </w:r>
      <w:proofErr w:type="spellStart"/>
      <w:r w:rsidR="00B12BCF">
        <w:rPr>
          <w:rFonts w:ascii="Arial" w:hAnsi="Arial" w:cs="Arial"/>
          <w:w w:val="0"/>
          <w:lang w:val="es-AR"/>
        </w:rPr>
        <w:t>Ps</w:t>
      </w:r>
      <w:proofErr w:type="spellEnd"/>
      <w:r w:rsidR="00B12BCF">
        <w:rPr>
          <w:rFonts w:ascii="Arial" w:hAnsi="Arial" w:cs="Arial"/>
          <w:w w:val="0"/>
          <w:lang w:val="es-AR"/>
        </w:rPr>
        <w:t xml:space="preserve"> 2,1</w:t>
      </w:r>
      <w:r>
        <w:rPr>
          <w:rFonts w:ascii="Arial" w:hAnsi="Arial" w:cs="Arial"/>
          <w:w w:val="0"/>
          <w:lang w:val="es-AR"/>
        </w:rPr>
        <w:t xml:space="preserve"> MM </w:t>
      </w:r>
      <w:r w:rsidR="00D44B02" w:rsidRPr="00D44B02">
        <w:rPr>
          <w:rFonts w:ascii="Arial" w:hAnsi="Arial" w:cs="Arial"/>
          <w:w w:val="0"/>
          <w:lang w:val="es-AR"/>
        </w:rPr>
        <w:t>lo que representa un aumento</w:t>
      </w:r>
      <w:r w:rsidR="007B0295">
        <w:rPr>
          <w:rFonts w:ascii="Arial" w:hAnsi="Arial" w:cs="Arial"/>
          <w:w w:val="0"/>
          <w:lang w:val="es-AR"/>
        </w:rPr>
        <w:t xml:space="preserve"> </w:t>
      </w:r>
      <w:r w:rsidRPr="00D44B02">
        <w:rPr>
          <w:rFonts w:ascii="Arial" w:hAnsi="Arial" w:cs="Arial"/>
          <w:w w:val="0"/>
          <w:lang w:val="es-AR"/>
        </w:rPr>
        <w:t xml:space="preserve">de </w:t>
      </w:r>
      <w:r w:rsidR="00721C2C">
        <w:rPr>
          <w:rFonts w:ascii="Arial" w:hAnsi="Arial" w:cs="Arial"/>
          <w:w w:val="0"/>
          <w:lang w:val="es-AR"/>
        </w:rPr>
        <w:t xml:space="preserve">aproximadamente </w:t>
      </w:r>
      <w:proofErr w:type="spellStart"/>
      <w:r w:rsidR="00B12BCF">
        <w:rPr>
          <w:rFonts w:ascii="Arial" w:hAnsi="Arial" w:cs="Arial"/>
          <w:w w:val="0"/>
          <w:lang w:val="es-AR"/>
        </w:rPr>
        <w:t>Ps</w:t>
      </w:r>
      <w:proofErr w:type="spellEnd"/>
      <w:r w:rsidR="00B12BCF">
        <w:rPr>
          <w:rFonts w:ascii="Arial" w:hAnsi="Arial" w:cs="Arial"/>
          <w:w w:val="0"/>
          <w:lang w:val="es-AR"/>
        </w:rPr>
        <w:t xml:space="preserve"> 1,2</w:t>
      </w:r>
      <w:r>
        <w:rPr>
          <w:rFonts w:ascii="Arial" w:hAnsi="Arial" w:cs="Arial"/>
          <w:w w:val="0"/>
          <w:lang w:val="es-AR"/>
        </w:rPr>
        <w:t xml:space="preserve"> MM, o </w:t>
      </w:r>
      <w:r w:rsidR="00B12BCF">
        <w:rPr>
          <w:rFonts w:ascii="Arial" w:hAnsi="Arial" w:cs="Arial"/>
          <w:w w:val="0"/>
          <w:lang w:val="es-AR"/>
        </w:rPr>
        <w:t>126,8</w:t>
      </w:r>
      <w:r w:rsidR="00D44B02" w:rsidRPr="00D44B02">
        <w:rPr>
          <w:rFonts w:ascii="Arial" w:hAnsi="Arial" w:cs="Arial"/>
          <w:w w:val="0"/>
          <w:lang w:val="es-AR"/>
        </w:rPr>
        <w:t>%</w:t>
      </w:r>
      <w:r w:rsidR="00B12BCF">
        <w:rPr>
          <w:rFonts w:ascii="Arial" w:hAnsi="Arial" w:cs="Arial"/>
          <w:w w:val="0"/>
          <w:lang w:val="es-AR"/>
        </w:rPr>
        <w:t xml:space="preserve">, respecto a los </w:t>
      </w:r>
      <w:proofErr w:type="spellStart"/>
      <w:r w:rsidR="00B12BCF">
        <w:rPr>
          <w:rFonts w:ascii="Arial" w:hAnsi="Arial" w:cs="Arial"/>
          <w:w w:val="0"/>
          <w:lang w:val="es-AR"/>
        </w:rPr>
        <w:t>Ps</w:t>
      </w:r>
      <w:proofErr w:type="spellEnd"/>
      <w:r w:rsidR="00B12BCF">
        <w:rPr>
          <w:rFonts w:ascii="Arial" w:hAnsi="Arial" w:cs="Arial"/>
          <w:w w:val="0"/>
          <w:lang w:val="es-AR"/>
        </w:rPr>
        <w:t xml:space="preserve"> 0,9</w:t>
      </w:r>
      <w:r w:rsidR="008222FB">
        <w:rPr>
          <w:rFonts w:ascii="Arial" w:hAnsi="Arial" w:cs="Arial"/>
          <w:w w:val="0"/>
          <w:lang w:val="es-AR"/>
        </w:rPr>
        <w:t xml:space="preserve"> MM del </w:t>
      </w:r>
      <w:r w:rsidR="00166A3A">
        <w:rPr>
          <w:rFonts w:ascii="Arial" w:hAnsi="Arial" w:cs="Arial"/>
          <w:w w:val="0"/>
          <w:lang w:val="es-AR"/>
        </w:rPr>
        <w:t>segundo</w:t>
      </w:r>
      <w:r w:rsidR="008222FB">
        <w:rPr>
          <w:rFonts w:ascii="Arial" w:hAnsi="Arial" w:cs="Arial"/>
          <w:w w:val="0"/>
          <w:lang w:val="es-AR"/>
        </w:rPr>
        <w:t xml:space="preserve"> trimestre </w:t>
      </w:r>
      <w:r w:rsidR="008222FB" w:rsidRPr="00E378F8">
        <w:rPr>
          <w:rFonts w:ascii="Arial" w:hAnsi="Arial" w:cs="Arial"/>
          <w:w w:val="0"/>
          <w:lang w:val="es-AR"/>
        </w:rPr>
        <w:t>2018</w:t>
      </w:r>
      <w:r w:rsidR="00E378F8" w:rsidRPr="00E378F8">
        <w:rPr>
          <w:rFonts w:ascii="Arial" w:hAnsi="Arial" w:cs="Arial"/>
          <w:w w:val="0"/>
          <w:lang w:val="es-AR"/>
        </w:rPr>
        <w:t xml:space="preserve"> </w:t>
      </w:r>
      <w:r w:rsidR="00E378F8" w:rsidRPr="0058416B">
        <w:rPr>
          <w:rFonts w:ascii="Arial" w:hAnsi="Arial" w:cs="Arial"/>
          <w:lang w:val="es-AR"/>
        </w:rPr>
        <w:t>debido a un aumento de las tarifas en pesos</w:t>
      </w:r>
      <w:r w:rsidR="00BD2E3C">
        <w:rPr>
          <w:rFonts w:ascii="Arial" w:hAnsi="Arial" w:cs="Arial"/>
          <w:lang w:val="es-AR"/>
        </w:rPr>
        <w:t xml:space="preserve"> </w:t>
      </w:r>
      <w:r w:rsidR="00BD2E3C" w:rsidRPr="00B92263">
        <w:rPr>
          <w:rFonts w:ascii="Arial" w:hAnsi="Arial" w:cs="Arial"/>
          <w:lang w:val="es-AR"/>
        </w:rPr>
        <w:t>y a la mayor actividad en áreas no convencionales</w:t>
      </w:r>
      <w:r w:rsidR="00C43195" w:rsidRPr="007137F0">
        <w:rPr>
          <w:rFonts w:ascii="Arial" w:hAnsi="Arial" w:cs="Arial"/>
          <w:w w:val="0"/>
          <w:lang w:val="es-AR"/>
        </w:rPr>
        <w:t>.</w:t>
      </w:r>
      <w:bookmarkStart w:id="73" w:name="_Hlk2171369"/>
    </w:p>
    <w:p w14:paraId="6F67AF18" w14:textId="77777777" w:rsidR="00BE0D88" w:rsidRPr="00BE0D88" w:rsidRDefault="00BE0D88" w:rsidP="00BE0D88">
      <w:pPr>
        <w:spacing w:after="120" w:line="288" w:lineRule="auto"/>
        <w:ind w:left="993"/>
        <w:jc w:val="both"/>
        <w:rPr>
          <w:rFonts w:ascii="Arial" w:hAnsi="Arial" w:cs="Arial"/>
          <w:w w:val="0"/>
          <w:lang w:val="es-AR"/>
        </w:rPr>
      </w:pPr>
    </w:p>
    <w:p w14:paraId="07B35803" w14:textId="67B4941D" w:rsidR="00DC356C" w:rsidRDefault="00B96FA2" w:rsidP="003B3687">
      <w:pPr>
        <w:spacing w:line="288" w:lineRule="auto"/>
        <w:jc w:val="both"/>
        <w:rPr>
          <w:rFonts w:ascii="Arial" w:hAnsi="Arial" w:cs="Arial"/>
          <w:lang w:val="es-AR"/>
        </w:rPr>
      </w:pPr>
      <w:r w:rsidRPr="004B2FCB">
        <w:rPr>
          <w:rFonts w:ascii="Arial" w:hAnsi="Arial" w:cs="Arial"/>
          <w:spacing w:val="-3"/>
          <w:lang w:val="es-AR"/>
        </w:rPr>
        <w:t xml:space="preserve">Los gastos de exploración </w:t>
      </w:r>
      <w:r w:rsidR="000A3C4E" w:rsidRPr="004B2FCB">
        <w:rPr>
          <w:rFonts w:ascii="Arial" w:hAnsi="Arial" w:cs="Arial"/>
          <w:spacing w:val="-3"/>
          <w:lang w:val="es-AR"/>
        </w:rPr>
        <w:t>ascendieron</w:t>
      </w:r>
      <w:r w:rsidR="001D5FEE" w:rsidRPr="004B2FCB">
        <w:rPr>
          <w:rFonts w:ascii="Arial" w:hAnsi="Arial" w:cs="Arial"/>
          <w:spacing w:val="-3"/>
          <w:lang w:val="es-AR"/>
        </w:rPr>
        <w:t xml:space="preserve"> a </w:t>
      </w:r>
      <w:proofErr w:type="spellStart"/>
      <w:r w:rsidR="001D5FEE" w:rsidRPr="004B2FCB">
        <w:rPr>
          <w:rFonts w:ascii="Arial" w:hAnsi="Arial" w:cs="Arial"/>
          <w:spacing w:val="-3"/>
          <w:lang w:val="es-AR"/>
        </w:rPr>
        <w:t>Ps</w:t>
      </w:r>
      <w:proofErr w:type="spellEnd"/>
      <w:r w:rsidR="001D5FEE" w:rsidRPr="004B2FCB">
        <w:rPr>
          <w:rFonts w:ascii="Arial" w:hAnsi="Arial" w:cs="Arial"/>
          <w:spacing w:val="-3"/>
          <w:lang w:val="es-AR"/>
        </w:rPr>
        <w:t xml:space="preserve"> </w:t>
      </w:r>
      <w:r w:rsidR="00B12BCF">
        <w:rPr>
          <w:rFonts w:ascii="Arial" w:hAnsi="Arial" w:cs="Arial"/>
          <w:spacing w:val="-3"/>
          <w:lang w:val="es-AR"/>
        </w:rPr>
        <w:t>1,1</w:t>
      </w:r>
      <w:r w:rsidR="00EE1C05">
        <w:rPr>
          <w:rFonts w:ascii="Arial" w:hAnsi="Arial" w:cs="Arial"/>
          <w:spacing w:val="-3"/>
          <w:lang w:val="es-AR"/>
        </w:rPr>
        <w:t xml:space="preserve"> </w:t>
      </w:r>
      <w:r w:rsidR="001D5FEE" w:rsidRPr="004B2FCB">
        <w:rPr>
          <w:rFonts w:ascii="Arial" w:hAnsi="Arial" w:cs="Arial"/>
          <w:spacing w:val="-3"/>
          <w:lang w:val="es-AR"/>
        </w:rPr>
        <w:t xml:space="preserve">MM en el </w:t>
      </w:r>
      <w:r w:rsidR="00166A3A">
        <w:rPr>
          <w:rFonts w:ascii="Arial" w:hAnsi="Arial" w:cs="Arial"/>
          <w:spacing w:val="-3"/>
          <w:lang w:val="es-AR"/>
        </w:rPr>
        <w:t>segundo</w:t>
      </w:r>
      <w:r w:rsidR="001D5FEE" w:rsidRPr="004B2FCB">
        <w:rPr>
          <w:rFonts w:ascii="Arial" w:hAnsi="Arial" w:cs="Arial"/>
          <w:spacing w:val="-3"/>
          <w:lang w:val="es-AR"/>
        </w:rPr>
        <w:t xml:space="preserve"> trimestr</w:t>
      </w:r>
      <w:r w:rsidRPr="004B2FCB">
        <w:rPr>
          <w:rFonts w:ascii="Arial" w:hAnsi="Arial" w:cs="Arial"/>
          <w:spacing w:val="-3"/>
          <w:lang w:val="es-AR"/>
        </w:rPr>
        <w:t>e de 201</w:t>
      </w:r>
      <w:r w:rsidR="008222FB">
        <w:rPr>
          <w:rFonts w:ascii="Arial" w:hAnsi="Arial" w:cs="Arial"/>
          <w:spacing w:val="-3"/>
          <w:lang w:val="es-AR"/>
        </w:rPr>
        <w:t>9</w:t>
      </w:r>
      <w:r w:rsidR="001D5FEE" w:rsidRPr="004B2FCB">
        <w:rPr>
          <w:rFonts w:ascii="Arial" w:hAnsi="Arial" w:cs="Arial"/>
          <w:spacing w:val="-3"/>
          <w:lang w:val="es-AR"/>
        </w:rPr>
        <w:t xml:space="preserve">, </w:t>
      </w:r>
      <w:r w:rsidR="00D44B02" w:rsidRPr="004B2FCB">
        <w:rPr>
          <w:rFonts w:ascii="Arial" w:hAnsi="Arial" w:cs="Arial"/>
          <w:spacing w:val="-3"/>
          <w:lang w:val="es-AR"/>
        </w:rPr>
        <w:t xml:space="preserve">presentando un aumento </w:t>
      </w:r>
      <w:r w:rsidR="005404F5" w:rsidRPr="004B2FCB">
        <w:rPr>
          <w:rFonts w:ascii="Arial" w:hAnsi="Arial" w:cs="Arial"/>
          <w:spacing w:val="-3"/>
          <w:lang w:val="es-AR"/>
        </w:rPr>
        <w:t xml:space="preserve">del </w:t>
      </w:r>
      <w:r w:rsidR="00B12BCF">
        <w:rPr>
          <w:rFonts w:ascii="Arial" w:hAnsi="Arial" w:cs="Arial"/>
          <w:spacing w:val="-3"/>
          <w:lang w:val="es-AR"/>
        </w:rPr>
        <w:t>129,7</w:t>
      </w:r>
      <w:r w:rsidR="005404F5" w:rsidRPr="004B2FCB">
        <w:rPr>
          <w:rFonts w:ascii="Arial" w:hAnsi="Arial" w:cs="Arial"/>
          <w:spacing w:val="-3"/>
          <w:lang w:val="es-AR"/>
        </w:rPr>
        <w:t xml:space="preserve">% comparado </w:t>
      </w:r>
      <w:r w:rsidR="001D5FEE" w:rsidRPr="004B2FCB">
        <w:rPr>
          <w:rFonts w:ascii="Arial" w:hAnsi="Arial" w:cs="Arial"/>
          <w:spacing w:val="-3"/>
          <w:lang w:val="es-AR"/>
        </w:rPr>
        <w:t>a los</w:t>
      </w:r>
      <w:r w:rsidR="00D44B02" w:rsidRPr="004B2FCB">
        <w:rPr>
          <w:rFonts w:ascii="Arial" w:hAnsi="Arial" w:cs="Arial"/>
          <w:spacing w:val="-3"/>
          <w:lang w:val="es-AR"/>
        </w:rPr>
        <w:t xml:space="preserve"> </w:t>
      </w:r>
      <w:proofErr w:type="spellStart"/>
      <w:r w:rsidR="00D44B02" w:rsidRPr="004B2FCB">
        <w:rPr>
          <w:rFonts w:ascii="Arial" w:hAnsi="Arial" w:cs="Arial"/>
          <w:spacing w:val="-3"/>
          <w:lang w:val="es-AR"/>
        </w:rPr>
        <w:t>Ps</w:t>
      </w:r>
      <w:proofErr w:type="spellEnd"/>
      <w:r w:rsidR="00D44B02" w:rsidRPr="004B2FCB">
        <w:rPr>
          <w:rFonts w:ascii="Arial" w:hAnsi="Arial" w:cs="Arial"/>
          <w:spacing w:val="-3"/>
          <w:lang w:val="es-AR"/>
        </w:rPr>
        <w:t xml:space="preserve"> 0</w:t>
      </w:r>
      <w:r w:rsidR="00B12BCF">
        <w:rPr>
          <w:rFonts w:ascii="Arial" w:hAnsi="Arial" w:cs="Arial"/>
          <w:spacing w:val="-3"/>
          <w:lang w:val="es-AR"/>
        </w:rPr>
        <w:t>,5</w:t>
      </w:r>
      <w:r w:rsidR="005404F5" w:rsidRPr="004B2FCB">
        <w:rPr>
          <w:rFonts w:ascii="Arial" w:hAnsi="Arial" w:cs="Arial"/>
          <w:spacing w:val="-3"/>
          <w:lang w:val="es-AR"/>
        </w:rPr>
        <w:t xml:space="preserve"> MM</w:t>
      </w:r>
      <w:r w:rsidR="001D5FEE" w:rsidRPr="004B2FCB">
        <w:rPr>
          <w:rFonts w:ascii="Arial" w:hAnsi="Arial" w:cs="Arial"/>
          <w:spacing w:val="-3"/>
          <w:lang w:val="es-AR"/>
        </w:rPr>
        <w:t xml:space="preserve"> registrados en el </w:t>
      </w:r>
      <w:r w:rsidR="00166A3A">
        <w:rPr>
          <w:rFonts w:ascii="Arial" w:hAnsi="Arial" w:cs="Arial"/>
          <w:spacing w:val="-3"/>
          <w:lang w:val="es-AR"/>
        </w:rPr>
        <w:t>segundo</w:t>
      </w:r>
      <w:r w:rsidR="008222FB">
        <w:rPr>
          <w:rFonts w:ascii="Arial" w:hAnsi="Arial" w:cs="Arial"/>
          <w:spacing w:val="-3"/>
          <w:lang w:val="es-AR"/>
        </w:rPr>
        <w:t xml:space="preserve"> </w:t>
      </w:r>
      <w:r w:rsidRPr="004B2FCB">
        <w:rPr>
          <w:rFonts w:ascii="Arial" w:hAnsi="Arial" w:cs="Arial"/>
          <w:spacing w:val="-3"/>
          <w:lang w:val="es-AR"/>
        </w:rPr>
        <w:t>trimestre de 201</w:t>
      </w:r>
      <w:r w:rsidR="008222FB">
        <w:rPr>
          <w:rFonts w:ascii="Arial" w:hAnsi="Arial" w:cs="Arial"/>
          <w:spacing w:val="-3"/>
          <w:lang w:val="es-AR"/>
        </w:rPr>
        <w:t>8</w:t>
      </w:r>
      <w:r w:rsidR="004D2F2A" w:rsidRPr="004B2FCB">
        <w:rPr>
          <w:rFonts w:ascii="Arial" w:hAnsi="Arial" w:cs="Arial"/>
          <w:spacing w:val="-3"/>
          <w:lang w:val="es-AR"/>
        </w:rPr>
        <w:t xml:space="preserve"> </w:t>
      </w:r>
      <w:r w:rsidR="00DC356C" w:rsidRPr="00B12BCF">
        <w:rPr>
          <w:rFonts w:ascii="Arial" w:hAnsi="Arial" w:cs="Arial"/>
          <w:lang w:val="es-AR"/>
        </w:rPr>
        <w:t xml:space="preserve">debido principalmente a los mayores resultados negativos provenientes de perforaciones exploratorias improductivas, por un monto diferencial </w:t>
      </w:r>
      <w:r w:rsidR="001E2310" w:rsidRPr="00B12BCF">
        <w:rPr>
          <w:rFonts w:ascii="Arial" w:hAnsi="Arial" w:cs="Arial"/>
          <w:lang w:val="es-AR"/>
        </w:rPr>
        <w:t xml:space="preserve">de </w:t>
      </w:r>
      <w:proofErr w:type="spellStart"/>
      <w:r w:rsidR="00C44615" w:rsidRPr="00B12BCF">
        <w:rPr>
          <w:rFonts w:ascii="Arial" w:hAnsi="Arial" w:cs="Arial"/>
          <w:lang w:val="es-AR"/>
        </w:rPr>
        <w:t>P</w:t>
      </w:r>
      <w:r w:rsidR="00B12BCF" w:rsidRPr="00B12BCF">
        <w:rPr>
          <w:rFonts w:ascii="Arial" w:hAnsi="Arial" w:cs="Arial"/>
          <w:lang w:val="es-AR"/>
        </w:rPr>
        <w:t>s</w:t>
      </w:r>
      <w:proofErr w:type="spellEnd"/>
      <w:r w:rsidR="00B12BCF" w:rsidRPr="00B12BCF">
        <w:rPr>
          <w:rFonts w:ascii="Arial" w:hAnsi="Arial" w:cs="Arial"/>
          <w:lang w:val="es-AR"/>
        </w:rPr>
        <w:t xml:space="preserve"> 0,4 </w:t>
      </w:r>
      <w:r w:rsidR="00C44615" w:rsidRPr="00B12BCF">
        <w:rPr>
          <w:rFonts w:ascii="Arial" w:hAnsi="Arial" w:cs="Arial"/>
          <w:lang w:val="es-AR"/>
        </w:rPr>
        <w:t xml:space="preserve">MM y a mayores gastos de estudios sísmicos y geológicos por </w:t>
      </w:r>
      <w:proofErr w:type="spellStart"/>
      <w:r w:rsidR="00B12BCF" w:rsidRPr="00B12BCF">
        <w:rPr>
          <w:rFonts w:ascii="Arial" w:hAnsi="Arial" w:cs="Arial"/>
          <w:lang w:val="es-AR"/>
        </w:rPr>
        <w:t>Ps</w:t>
      </w:r>
      <w:proofErr w:type="spellEnd"/>
      <w:r w:rsidR="00B12BCF" w:rsidRPr="00B12BCF">
        <w:rPr>
          <w:rFonts w:ascii="Arial" w:hAnsi="Arial" w:cs="Arial"/>
          <w:lang w:val="es-AR"/>
        </w:rPr>
        <w:t xml:space="preserve"> 42 millones</w:t>
      </w:r>
      <w:r w:rsidR="00C44615" w:rsidRPr="00B12BCF">
        <w:rPr>
          <w:rFonts w:ascii="Arial" w:hAnsi="Arial" w:cs="Arial"/>
          <w:lang w:val="es-AR"/>
        </w:rPr>
        <w:t>.</w:t>
      </w:r>
      <w:r w:rsidR="00C44615">
        <w:rPr>
          <w:rFonts w:ascii="Arial" w:hAnsi="Arial" w:cs="Arial"/>
          <w:lang w:val="es-AR"/>
        </w:rPr>
        <w:t xml:space="preserve"> </w:t>
      </w:r>
      <w:r w:rsidR="00C44615" w:rsidRPr="00C44615">
        <w:rPr>
          <w:rFonts w:ascii="Arial" w:hAnsi="Arial" w:cs="Arial"/>
          <w:lang w:val="es-AR"/>
        </w:rPr>
        <w:t>Se</w:t>
      </w:r>
      <w:r w:rsidR="00C44615" w:rsidRPr="00380C39">
        <w:rPr>
          <w:rFonts w:ascii="Arial" w:hAnsi="Arial" w:cs="Arial"/>
          <w:lang w:val="es-AR"/>
        </w:rPr>
        <w:t xml:space="preserve"> destaca que la inversión exploratoria del trimestre fue un </w:t>
      </w:r>
      <w:r w:rsidR="00B12BCF">
        <w:rPr>
          <w:rFonts w:ascii="Arial" w:hAnsi="Arial" w:cs="Arial"/>
          <w:lang w:val="es-AR"/>
        </w:rPr>
        <w:t>49,9</w:t>
      </w:r>
      <w:r w:rsidR="00C44615" w:rsidRPr="00380C39">
        <w:rPr>
          <w:rFonts w:ascii="Arial" w:hAnsi="Arial" w:cs="Arial"/>
          <w:lang w:val="es-AR"/>
        </w:rPr>
        <w:t xml:space="preserve">% superior al mismo período del año anterior, </w:t>
      </w:r>
      <w:r w:rsidR="00C44615" w:rsidRPr="0057766D">
        <w:rPr>
          <w:rFonts w:ascii="Arial" w:hAnsi="Arial" w:cs="Arial"/>
          <w:lang w:val="es-AR"/>
        </w:rPr>
        <w:t xml:space="preserve">totalizando </w:t>
      </w:r>
      <w:proofErr w:type="spellStart"/>
      <w:r w:rsidR="00B12BCF" w:rsidRPr="0057766D">
        <w:rPr>
          <w:rFonts w:ascii="Arial" w:hAnsi="Arial" w:cs="Arial"/>
          <w:lang w:val="es-AR"/>
        </w:rPr>
        <w:t>Ps</w:t>
      </w:r>
      <w:proofErr w:type="spellEnd"/>
      <w:r w:rsidR="00B12BCF" w:rsidRPr="0057766D">
        <w:rPr>
          <w:rFonts w:ascii="Arial" w:hAnsi="Arial" w:cs="Arial"/>
          <w:lang w:val="es-AR"/>
        </w:rPr>
        <w:t xml:space="preserve"> 2,0</w:t>
      </w:r>
      <w:r w:rsidR="00C44615" w:rsidRPr="0057766D">
        <w:rPr>
          <w:rFonts w:ascii="Arial" w:hAnsi="Arial" w:cs="Arial"/>
          <w:lang w:val="es-AR"/>
        </w:rPr>
        <w:t xml:space="preserve"> MM.</w:t>
      </w:r>
    </w:p>
    <w:bookmarkEnd w:id="73"/>
    <w:p w14:paraId="64B20287" w14:textId="6192428C" w:rsidR="00CD798A" w:rsidRDefault="00E41DCE" w:rsidP="007137F0">
      <w:pPr>
        <w:spacing w:line="288" w:lineRule="auto"/>
        <w:jc w:val="both"/>
        <w:rPr>
          <w:rFonts w:ascii="Arial" w:hAnsi="Arial" w:cs="Arial"/>
          <w:spacing w:val="-3"/>
          <w:u w:val="single"/>
          <w:lang w:val="es-AR"/>
        </w:rPr>
      </w:pPr>
      <w:r w:rsidRPr="007C44EB">
        <w:rPr>
          <w:rFonts w:ascii="Arial" w:hAnsi="Arial" w:cs="Arial"/>
          <w:spacing w:val="-3"/>
          <w:lang w:val="es-AR"/>
        </w:rPr>
        <w:t xml:space="preserve">Los costos operativos </w:t>
      </w:r>
      <w:proofErr w:type="spellStart"/>
      <w:r w:rsidRPr="007C44EB">
        <w:rPr>
          <w:rFonts w:ascii="Arial" w:hAnsi="Arial" w:cs="Arial"/>
          <w:spacing w:val="-3"/>
          <w:lang w:val="es-AR"/>
        </w:rPr>
        <w:t>erogables</w:t>
      </w:r>
      <w:proofErr w:type="spellEnd"/>
      <w:r w:rsidRPr="007C44EB">
        <w:rPr>
          <w:rFonts w:ascii="Arial" w:hAnsi="Arial" w:cs="Arial"/>
          <w:spacing w:val="-3"/>
          <w:lang w:val="es-AR"/>
        </w:rPr>
        <w:t xml:space="preserve"> unitarios en dólares del </w:t>
      </w:r>
      <w:r w:rsidR="006B6A29">
        <w:rPr>
          <w:rFonts w:ascii="Arial" w:hAnsi="Arial" w:cs="Arial"/>
          <w:spacing w:val="-3"/>
          <w:lang w:val="es-AR"/>
        </w:rPr>
        <w:t>segundo</w:t>
      </w:r>
      <w:r w:rsidR="00BF32D5" w:rsidRPr="007C44EB">
        <w:rPr>
          <w:rFonts w:ascii="Arial" w:hAnsi="Arial" w:cs="Arial"/>
          <w:spacing w:val="-3"/>
          <w:lang w:val="es-AR"/>
        </w:rPr>
        <w:t xml:space="preserve"> trimestre 2019</w:t>
      </w:r>
      <w:r w:rsidR="00614C0F">
        <w:rPr>
          <w:rFonts w:ascii="Arial" w:hAnsi="Arial" w:cs="Arial"/>
          <w:spacing w:val="-3"/>
          <w:lang w:val="es-AR"/>
        </w:rPr>
        <w:t xml:space="preserve"> fueron de 20,3</w:t>
      </w:r>
      <w:r w:rsidRPr="007C44EB">
        <w:rPr>
          <w:rFonts w:ascii="Arial" w:hAnsi="Arial" w:cs="Arial"/>
          <w:spacing w:val="-3"/>
          <w:lang w:val="es-AR"/>
        </w:rPr>
        <w:t xml:space="preserve"> USD/</w:t>
      </w:r>
      <w:proofErr w:type="spellStart"/>
      <w:r w:rsidRPr="007C44EB">
        <w:rPr>
          <w:rFonts w:ascii="Arial" w:hAnsi="Arial" w:cs="Arial"/>
          <w:spacing w:val="-3"/>
          <w:lang w:val="es-AR"/>
        </w:rPr>
        <w:t>bpe</w:t>
      </w:r>
      <w:proofErr w:type="spellEnd"/>
      <w:r w:rsidRPr="007C44EB">
        <w:rPr>
          <w:rFonts w:ascii="Arial" w:hAnsi="Arial" w:cs="Arial"/>
          <w:spacing w:val="-3"/>
          <w:lang w:val="es-AR"/>
        </w:rPr>
        <w:t xml:space="preserve">, </w:t>
      </w:r>
      <w:r w:rsidRPr="00067929">
        <w:rPr>
          <w:rFonts w:ascii="Arial" w:hAnsi="Arial" w:cs="Arial"/>
          <w:spacing w:val="-3"/>
          <w:lang w:val="es-AR"/>
        </w:rPr>
        <w:t>m</w:t>
      </w:r>
      <w:r w:rsidR="007C44EB" w:rsidRPr="00067929">
        <w:rPr>
          <w:rFonts w:ascii="Arial" w:hAnsi="Arial" w:cs="Arial"/>
          <w:spacing w:val="-3"/>
          <w:lang w:val="es-AR"/>
        </w:rPr>
        <w:t>ostrando una dismin</w:t>
      </w:r>
      <w:r w:rsidR="00614C0F">
        <w:rPr>
          <w:rFonts w:ascii="Arial" w:hAnsi="Arial" w:cs="Arial"/>
          <w:spacing w:val="-3"/>
          <w:lang w:val="es-AR"/>
        </w:rPr>
        <w:t>ución del 1,2</w:t>
      </w:r>
      <w:r w:rsidR="00C611F3">
        <w:rPr>
          <w:rFonts w:ascii="Arial" w:hAnsi="Arial" w:cs="Arial"/>
          <w:spacing w:val="-3"/>
          <w:lang w:val="es-AR"/>
        </w:rPr>
        <w:t>% frente a los 20,5</w:t>
      </w:r>
      <w:r w:rsidRPr="00067929">
        <w:rPr>
          <w:rFonts w:ascii="Arial" w:hAnsi="Arial" w:cs="Arial"/>
          <w:spacing w:val="-3"/>
          <w:lang w:val="es-AR"/>
        </w:rPr>
        <w:t xml:space="preserve"> USD/</w:t>
      </w:r>
      <w:proofErr w:type="spellStart"/>
      <w:r w:rsidRPr="00067929">
        <w:rPr>
          <w:rFonts w:ascii="Arial" w:hAnsi="Arial" w:cs="Arial"/>
          <w:spacing w:val="-3"/>
          <w:lang w:val="es-AR"/>
        </w:rPr>
        <w:t>bpe</w:t>
      </w:r>
      <w:proofErr w:type="spellEnd"/>
      <w:r w:rsidR="00BF32D5" w:rsidRPr="00067929">
        <w:rPr>
          <w:rFonts w:ascii="Arial" w:hAnsi="Arial" w:cs="Arial"/>
          <w:spacing w:val="-3"/>
          <w:lang w:val="es-AR"/>
        </w:rPr>
        <w:t xml:space="preserve"> del </w:t>
      </w:r>
      <w:r w:rsidR="006B6A29">
        <w:rPr>
          <w:rFonts w:ascii="Arial" w:hAnsi="Arial" w:cs="Arial"/>
          <w:spacing w:val="-3"/>
          <w:lang w:val="es-AR"/>
        </w:rPr>
        <w:t xml:space="preserve">segundo </w:t>
      </w:r>
      <w:r w:rsidR="00BF32D5" w:rsidRPr="00067929">
        <w:rPr>
          <w:rFonts w:ascii="Arial" w:hAnsi="Arial" w:cs="Arial"/>
          <w:spacing w:val="-3"/>
          <w:lang w:val="es-AR"/>
        </w:rPr>
        <w:t>trimestre 2018</w:t>
      </w:r>
      <w:r w:rsidR="007C44EB" w:rsidRPr="00067929">
        <w:rPr>
          <w:rFonts w:ascii="Arial" w:hAnsi="Arial" w:cs="Arial"/>
          <w:spacing w:val="-3"/>
          <w:lang w:val="es-AR"/>
        </w:rPr>
        <w:t xml:space="preserve"> (incluyendo tributos por </w:t>
      </w:r>
      <w:r w:rsidR="00614C0F">
        <w:rPr>
          <w:rFonts w:ascii="Arial" w:hAnsi="Arial" w:cs="Arial"/>
          <w:spacing w:val="-3"/>
          <w:lang w:val="es-AR"/>
        </w:rPr>
        <w:t>5,8</w:t>
      </w:r>
      <w:r w:rsidR="007C44EB" w:rsidRPr="00067929">
        <w:rPr>
          <w:rFonts w:ascii="Arial" w:hAnsi="Arial" w:cs="Arial"/>
          <w:spacing w:val="-3"/>
          <w:lang w:val="es-AR"/>
        </w:rPr>
        <w:t xml:space="preserve"> </w:t>
      </w:r>
      <w:r w:rsidRPr="00067929">
        <w:rPr>
          <w:rFonts w:ascii="Arial" w:hAnsi="Arial" w:cs="Arial"/>
          <w:spacing w:val="-3"/>
          <w:lang w:val="es-AR"/>
        </w:rPr>
        <w:t>USD/</w:t>
      </w:r>
      <w:proofErr w:type="spellStart"/>
      <w:r w:rsidRPr="00067929">
        <w:rPr>
          <w:rFonts w:ascii="Arial" w:hAnsi="Arial" w:cs="Arial"/>
          <w:spacing w:val="-3"/>
          <w:lang w:val="es-AR"/>
        </w:rPr>
        <w:t>bpe</w:t>
      </w:r>
      <w:proofErr w:type="spellEnd"/>
      <w:r w:rsidRPr="00067929">
        <w:rPr>
          <w:rFonts w:ascii="Arial" w:hAnsi="Arial" w:cs="Arial"/>
          <w:spacing w:val="-3"/>
          <w:lang w:val="es-AR"/>
        </w:rPr>
        <w:t xml:space="preserve"> para </w:t>
      </w:r>
      <w:r w:rsidR="007C44EB" w:rsidRPr="00067929">
        <w:rPr>
          <w:rFonts w:ascii="Arial" w:hAnsi="Arial" w:cs="Arial"/>
          <w:spacing w:val="-3"/>
          <w:lang w:val="es-AR"/>
        </w:rPr>
        <w:t xml:space="preserve">el </w:t>
      </w:r>
      <w:r w:rsidR="006B6A29">
        <w:rPr>
          <w:rFonts w:ascii="Arial" w:hAnsi="Arial" w:cs="Arial"/>
          <w:spacing w:val="-3"/>
          <w:lang w:val="es-AR"/>
        </w:rPr>
        <w:t xml:space="preserve">segundo </w:t>
      </w:r>
      <w:r w:rsidR="00C611F3">
        <w:rPr>
          <w:rFonts w:ascii="Arial" w:hAnsi="Arial" w:cs="Arial"/>
          <w:spacing w:val="-3"/>
          <w:lang w:val="es-AR"/>
        </w:rPr>
        <w:t>trimestre 2019 y 6,8 USD/</w:t>
      </w:r>
      <w:proofErr w:type="spellStart"/>
      <w:r w:rsidR="00C611F3">
        <w:rPr>
          <w:rFonts w:ascii="Arial" w:hAnsi="Arial" w:cs="Arial"/>
          <w:spacing w:val="-3"/>
          <w:lang w:val="es-AR"/>
        </w:rPr>
        <w:t>bpe</w:t>
      </w:r>
      <w:proofErr w:type="spellEnd"/>
      <w:r w:rsidR="00C611F3">
        <w:rPr>
          <w:rFonts w:ascii="Arial" w:hAnsi="Arial" w:cs="Arial"/>
          <w:spacing w:val="-3"/>
          <w:lang w:val="es-AR"/>
        </w:rPr>
        <w:t xml:space="preserve"> para el segundo trimestre </w:t>
      </w:r>
      <w:r w:rsidR="007C44EB" w:rsidRPr="00067929">
        <w:rPr>
          <w:rFonts w:ascii="Arial" w:hAnsi="Arial" w:cs="Arial"/>
          <w:spacing w:val="-3"/>
          <w:lang w:val="es-AR"/>
        </w:rPr>
        <w:t>2018</w:t>
      </w:r>
      <w:r w:rsidRPr="00067929">
        <w:rPr>
          <w:rFonts w:ascii="Arial" w:hAnsi="Arial" w:cs="Arial"/>
          <w:spacing w:val="-3"/>
          <w:lang w:val="es-AR"/>
        </w:rPr>
        <w:t xml:space="preserve">). Por su parte el </w:t>
      </w:r>
      <w:proofErr w:type="gramStart"/>
      <w:r w:rsidRPr="00067929">
        <w:rPr>
          <w:rFonts w:ascii="Arial" w:hAnsi="Arial" w:cs="Arial"/>
          <w:spacing w:val="-3"/>
          <w:lang w:val="es-AR"/>
        </w:rPr>
        <w:t>lifting</w:t>
      </w:r>
      <w:proofErr w:type="gramEnd"/>
      <w:r w:rsidRPr="00067929">
        <w:rPr>
          <w:rFonts w:ascii="Arial" w:hAnsi="Arial" w:cs="Arial"/>
          <w:spacing w:val="-3"/>
          <w:lang w:val="es-AR"/>
        </w:rPr>
        <w:t xml:space="preserve"> </w:t>
      </w:r>
      <w:proofErr w:type="spellStart"/>
      <w:r w:rsidRPr="00067929">
        <w:rPr>
          <w:rFonts w:ascii="Arial" w:hAnsi="Arial" w:cs="Arial"/>
          <w:spacing w:val="-3"/>
          <w:lang w:val="es-AR"/>
        </w:rPr>
        <w:t>cost</w:t>
      </w:r>
      <w:proofErr w:type="spellEnd"/>
      <w:r w:rsidRPr="00067929">
        <w:rPr>
          <w:rFonts w:ascii="Arial" w:hAnsi="Arial" w:cs="Arial"/>
          <w:spacing w:val="-3"/>
          <w:lang w:val="es-AR"/>
        </w:rPr>
        <w:t xml:space="preserve"> promedio consolidado para la compañía </w:t>
      </w:r>
      <w:r w:rsidR="00870CFE" w:rsidRPr="00067929">
        <w:rPr>
          <w:rFonts w:ascii="Arial" w:hAnsi="Arial" w:cs="Arial"/>
          <w:spacing w:val="-3"/>
          <w:lang w:val="es-AR"/>
        </w:rPr>
        <w:t xml:space="preserve">en el </w:t>
      </w:r>
      <w:r w:rsidR="006B6A29">
        <w:rPr>
          <w:rFonts w:ascii="Arial" w:hAnsi="Arial" w:cs="Arial"/>
          <w:spacing w:val="-3"/>
          <w:lang w:val="es-AR"/>
        </w:rPr>
        <w:t>segundo</w:t>
      </w:r>
      <w:r w:rsidR="00BF32D5" w:rsidRPr="00067929">
        <w:rPr>
          <w:rFonts w:ascii="Arial" w:hAnsi="Arial" w:cs="Arial"/>
          <w:spacing w:val="-3"/>
          <w:lang w:val="es-AR"/>
        </w:rPr>
        <w:t xml:space="preserve"> trimestre 2019</w:t>
      </w:r>
      <w:r w:rsidR="00870CFE" w:rsidRPr="00067929">
        <w:rPr>
          <w:rFonts w:ascii="Arial" w:hAnsi="Arial" w:cs="Arial"/>
          <w:spacing w:val="-3"/>
          <w:lang w:val="es-AR"/>
        </w:rPr>
        <w:t xml:space="preserve"> </w:t>
      </w:r>
      <w:r w:rsidR="00614C0F">
        <w:rPr>
          <w:rFonts w:ascii="Arial" w:hAnsi="Arial" w:cs="Arial"/>
          <w:spacing w:val="-3"/>
          <w:lang w:val="es-AR"/>
        </w:rPr>
        <w:t>fue de 12,3 USD/</w:t>
      </w:r>
      <w:proofErr w:type="spellStart"/>
      <w:r w:rsidR="00614C0F">
        <w:rPr>
          <w:rFonts w:ascii="Arial" w:hAnsi="Arial" w:cs="Arial"/>
          <w:spacing w:val="-3"/>
          <w:lang w:val="es-AR"/>
        </w:rPr>
        <w:t>bpe</w:t>
      </w:r>
      <w:proofErr w:type="spellEnd"/>
      <w:r w:rsidR="00614C0F">
        <w:rPr>
          <w:rFonts w:ascii="Arial" w:hAnsi="Arial" w:cs="Arial"/>
          <w:spacing w:val="-3"/>
          <w:lang w:val="es-AR"/>
        </w:rPr>
        <w:t>, un 10,4</w:t>
      </w:r>
      <w:r w:rsidR="00136DBF">
        <w:rPr>
          <w:rFonts w:ascii="Arial" w:hAnsi="Arial" w:cs="Arial"/>
          <w:spacing w:val="-3"/>
          <w:lang w:val="es-AR"/>
        </w:rPr>
        <w:t xml:space="preserve">% superior </w:t>
      </w:r>
      <w:r w:rsidR="007C44EB" w:rsidRPr="00067929">
        <w:rPr>
          <w:rFonts w:ascii="Arial" w:hAnsi="Arial" w:cs="Arial"/>
          <w:spacing w:val="-3"/>
          <w:lang w:val="es-AR"/>
        </w:rPr>
        <w:t xml:space="preserve">respecto al </w:t>
      </w:r>
      <w:r w:rsidR="006B6A29">
        <w:rPr>
          <w:rFonts w:ascii="Arial" w:hAnsi="Arial" w:cs="Arial"/>
          <w:spacing w:val="-3"/>
          <w:lang w:val="es-AR"/>
        </w:rPr>
        <w:t xml:space="preserve">segundo </w:t>
      </w:r>
      <w:r w:rsidR="00CD798A">
        <w:rPr>
          <w:rFonts w:ascii="Arial" w:hAnsi="Arial" w:cs="Arial"/>
          <w:spacing w:val="-3"/>
          <w:lang w:val="es-AR"/>
        </w:rPr>
        <w:t xml:space="preserve">trimestre </w:t>
      </w:r>
      <w:r w:rsidR="00CD798A" w:rsidRPr="00067929">
        <w:rPr>
          <w:rFonts w:ascii="Arial" w:hAnsi="Arial" w:cs="Arial"/>
          <w:spacing w:val="-3"/>
          <w:lang w:val="es-AR"/>
        </w:rPr>
        <w:t>2018</w:t>
      </w:r>
      <w:r w:rsidRPr="00067929">
        <w:rPr>
          <w:rFonts w:ascii="Arial" w:hAnsi="Arial" w:cs="Arial"/>
          <w:spacing w:val="-3"/>
          <w:lang w:val="es-AR"/>
        </w:rPr>
        <w:t>.</w:t>
      </w:r>
    </w:p>
    <w:p w14:paraId="69170CCA" w14:textId="28CB1117" w:rsidR="004515DC" w:rsidRDefault="004515DC" w:rsidP="002911C3">
      <w:pPr>
        <w:spacing w:after="0"/>
        <w:jc w:val="both"/>
        <w:rPr>
          <w:rFonts w:ascii="Arial" w:hAnsi="Arial" w:cs="Arial"/>
          <w:spacing w:val="-3"/>
          <w:u w:val="single"/>
          <w:lang w:val="es-AR"/>
        </w:rPr>
      </w:pPr>
    </w:p>
    <w:p w14:paraId="0C055A14" w14:textId="0F2FC8B0" w:rsidR="00164C5E" w:rsidRPr="00140DDB" w:rsidRDefault="00164C5E" w:rsidP="002911C3">
      <w:pPr>
        <w:spacing w:after="0"/>
        <w:jc w:val="both"/>
        <w:rPr>
          <w:rFonts w:ascii="Arial" w:hAnsi="Arial" w:cs="Arial"/>
          <w:spacing w:val="-3"/>
          <w:u w:val="single"/>
          <w:lang w:val="es-AR"/>
        </w:rPr>
      </w:pPr>
      <w:r w:rsidRPr="00140DDB">
        <w:rPr>
          <w:rFonts w:ascii="Arial" w:hAnsi="Arial" w:cs="Arial"/>
          <w:spacing w:val="-3"/>
          <w:u w:val="single"/>
          <w:lang w:val="es-AR"/>
        </w:rPr>
        <w:t>Inversiones</w:t>
      </w:r>
    </w:p>
    <w:p w14:paraId="445D5D8C" w14:textId="77777777" w:rsidR="00164C5E" w:rsidRPr="00140DDB" w:rsidRDefault="00164C5E" w:rsidP="002911C3">
      <w:pPr>
        <w:spacing w:after="0"/>
        <w:jc w:val="both"/>
        <w:rPr>
          <w:rFonts w:ascii="Arial" w:hAnsi="Arial" w:cs="Arial"/>
          <w:spacing w:val="-3"/>
          <w:lang w:val="es-AR"/>
        </w:rPr>
      </w:pPr>
    </w:p>
    <w:p w14:paraId="6E2F6CF0" w14:textId="0ABC667C" w:rsidR="002E31A6" w:rsidRDefault="00DB6BAB" w:rsidP="002E31A6">
      <w:pPr>
        <w:spacing w:line="288" w:lineRule="auto"/>
        <w:jc w:val="both"/>
        <w:rPr>
          <w:rFonts w:ascii="Arial" w:hAnsi="Arial" w:cs="Arial"/>
          <w:spacing w:val="-3"/>
          <w:lang w:val="es-AR"/>
        </w:rPr>
      </w:pPr>
      <w:r w:rsidRPr="002E31A6">
        <w:rPr>
          <w:rFonts w:ascii="Arial" w:hAnsi="Arial" w:cs="Arial"/>
          <w:spacing w:val="-3"/>
          <w:lang w:val="es-AR"/>
        </w:rPr>
        <w:t xml:space="preserve">Las inversiones en </w:t>
      </w:r>
      <w:proofErr w:type="spellStart"/>
      <w:r w:rsidRPr="002E31A6">
        <w:rPr>
          <w:rFonts w:ascii="Arial" w:hAnsi="Arial" w:cs="Arial"/>
          <w:spacing w:val="-3"/>
          <w:lang w:val="es-AR"/>
        </w:rPr>
        <w:t>Upstream</w:t>
      </w:r>
      <w:proofErr w:type="spellEnd"/>
      <w:r w:rsidRPr="002E31A6">
        <w:rPr>
          <w:rFonts w:ascii="Arial" w:hAnsi="Arial" w:cs="Arial"/>
          <w:spacing w:val="-3"/>
          <w:lang w:val="es-AR"/>
        </w:rPr>
        <w:t xml:space="preserve"> en el </w:t>
      </w:r>
      <w:r w:rsidR="006B6A29" w:rsidRPr="002E31A6">
        <w:rPr>
          <w:rFonts w:ascii="Arial" w:hAnsi="Arial" w:cs="Arial"/>
          <w:spacing w:val="-3"/>
          <w:lang w:val="es-AR"/>
        </w:rPr>
        <w:t>segundo trimestre de</w:t>
      </w:r>
      <w:r w:rsidR="004D2F2A" w:rsidRPr="002E31A6">
        <w:rPr>
          <w:rFonts w:ascii="Arial" w:hAnsi="Arial" w:cs="Arial"/>
          <w:spacing w:val="-3"/>
          <w:lang w:val="es-AR"/>
        </w:rPr>
        <w:t xml:space="preserve"> 201</w:t>
      </w:r>
      <w:r w:rsidR="00401581" w:rsidRPr="002E31A6">
        <w:rPr>
          <w:rFonts w:ascii="Arial" w:hAnsi="Arial" w:cs="Arial"/>
          <w:spacing w:val="-3"/>
          <w:lang w:val="es-AR"/>
        </w:rPr>
        <w:t>9</w:t>
      </w:r>
      <w:r w:rsidR="004D2F2A" w:rsidRPr="002E31A6">
        <w:rPr>
          <w:rFonts w:ascii="Arial" w:hAnsi="Arial" w:cs="Arial"/>
          <w:spacing w:val="-3"/>
          <w:lang w:val="es-AR"/>
        </w:rPr>
        <w:t xml:space="preserve"> alcanzaron los </w:t>
      </w:r>
      <w:proofErr w:type="spellStart"/>
      <w:r w:rsidR="004D2F2A" w:rsidRPr="002E31A6">
        <w:rPr>
          <w:rFonts w:ascii="Arial" w:hAnsi="Arial" w:cs="Arial"/>
          <w:spacing w:val="-3"/>
          <w:lang w:val="es-AR"/>
        </w:rPr>
        <w:t>Ps</w:t>
      </w:r>
      <w:proofErr w:type="spellEnd"/>
      <w:r w:rsidR="004D2F2A" w:rsidRPr="002E31A6">
        <w:rPr>
          <w:rFonts w:ascii="Arial" w:hAnsi="Arial" w:cs="Arial"/>
          <w:spacing w:val="-3"/>
          <w:lang w:val="es-AR"/>
        </w:rPr>
        <w:t xml:space="preserve"> </w:t>
      </w:r>
      <w:r w:rsidR="00136DBF" w:rsidRPr="002E31A6">
        <w:rPr>
          <w:rFonts w:ascii="Arial" w:hAnsi="Arial" w:cs="Arial"/>
          <w:spacing w:val="-3"/>
          <w:lang w:val="es-AR"/>
        </w:rPr>
        <w:t>31,9</w:t>
      </w:r>
      <w:r w:rsidR="00540A05" w:rsidRPr="002E31A6">
        <w:rPr>
          <w:rFonts w:ascii="Arial" w:hAnsi="Arial" w:cs="Arial"/>
          <w:spacing w:val="-3"/>
          <w:lang w:val="es-AR"/>
        </w:rPr>
        <w:t xml:space="preserve"> </w:t>
      </w:r>
      <w:r w:rsidR="004D2F2A" w:rsidRPr="002E31A6">
        <w:rPr>
          <w:rFonts w:ascii="Arial" w:hAnsi="Arial" w:cs="Arial"/>
          <w:spacing w:val="-3"/>
          <w:lang w:val="es-AR"/>
        </w:rPr>
        <w:t xml:space="preserve">MM siendo </w:t>
      </w:r>
      <w:r w:rsidR="00540A05" w:rsidRPr="002E31A6">
        <w:rPr>
          <w:rFonts w:ascii="Arial" w:hAnsi="Arial" w:cs="Arial"/>
          <w:spacing w:val="-3"/>
          <w:lang w:val="es-AR"/>
        </w:rPr>
        <w:t xml:space="preserve">superiores </w:t>
      </w:r>
      <w:r w:rsidR="004D2F2A" w:rsidRPr="002E31A6">
        <w:rPr>
          <w:rFonts w:ascii="Arial" w:hAnsi="Arial" w:cs="Arial"/>
          <w:spacing w:val="-3"/>
          <w:lang w:val="es-AR"/>
        </w:rPr>
        <w:t xml:space="preserve">en un </w:t>
      </w:r>
      <w:r w:rsidR="00136DBF" w:rsidRPr="002E31A6">
        <w:rPr>
          <w:rFonts w:ascii="Arial" w:hAnsi="Arial" w:cs="Arial"/>
          <w:spacing w:val="-3"/>
          <w:lang w:val="es-AR"/>
        </w:rPr>
        <w:t>97,9</w:t>
      </w:r>
      <w:r w:rsidRPr="002E31A6">
        <w:rPr>
          <w:rFonts w:ascii="Arial" w:hAnsi="Arial" w:cs="Arial"/>
          <w:spacing w:val="-3"/>
          <w:lang w:val="es-AR"/>
        </w:rPr>
        <w:t>% a las realizada</w:t>
      </w:r>
      <w:r w:rsidR="002344C6" w:rsidRPr="002E31A6">
        <w:rPr>
          <w:rFonts w:ascii="Arial" w:hAnsi="Arial" w:cs="Arial"/>
          <w:spacing w:val="-3"/>
          <w:lang w:val="es-AR"/>
        </w:rPr>
        <w:t xml:space="preserve">s en el </w:t>
      </w:r>
      <w:r w:rsidR="006B6A29" w:rsidRPr="002E31A6">
        <w:rPr>
          <w:rFonts w:ascii="Arial" w:hAnsi="Arial" w:cs="Arial"/>
          <w:spacing w:val="-3"/>
          <w:lang w:val="es-AR"/>
        </w:rPr>
        <w:t xml:space="preserve">segundo </w:t>
      </w:r>
      <w:r w:rsidR="00CD765A" w:rsidRPr="002E31A6">
        <w:rPr>
          <w:rFonts w:ascii="Arial" w:hAnsi="Arial" w:cs="Arial"/>
          <w:spacing w:val="-3"/>
          <w:lang w:val="es-AR"/>
        </w:rPr>
        <w:t>trimestre de 201</w:t>
      </w:r>
      <w:r w:rsidR="002344C6" w:rsidRPr="002E31A6">
        <w:rPr>
          <w:rFonts w:ascii="Arial" w:hAnsi="Arial" w:cs="Arial"/>
          <w:spacing w:val="-3"/>
          <w:lang w:val="es-AR"/>
        </w:rPr>
        <w:t>8</w:t>
      </w:r>
      <w:r w:rsidRPr="002E31A6">
        <w:rPr>
          <w:rFonts w:ascii="Arial" w:hAnsi="Arial" w:cs="Arial"/>
          <w:spacing w:val="-3"/>
          <w:lang w:val="es-AR"/>
        </w:rPr>
        <w:t xml:space="preserve">. </w:t>
      </w:r>
      <w:r w:rsidR="002E31A6" w:rsidRPr="002E31A6">
        <w:rPr>
          <w:rFonts w:ascii="Arial" w:hAnsi="Arial" w:cs="Arial"/>
          <w:spacing w:val="-3"/>
          <w:lang w:val="es-AR"/>
        </w:rPr>
        <w:t xml:space="preserve">En relación con las inversiones mencionadas, cabe destacar que durante el segundo trimestre del año 2019 el 67,8% fueron destinadas a perforación y </w:t>
      </w:r>
      <w:proofErr w:type="spellStart"/>
      <w:r w:rsidR="002E31A6" w:rsidRPr="002E31A6">
        <w:rPr>
          <w:rFonts w:ascii="Arial" w:hAnsi="Arial" w:cs="Arial"/>
          <w:spacing w:val="-3"/>
          <w:lang w:val="es-AR"/>
        </w:rPr>
        <w:t>workover</w:t>
      </w:r>
      <w:proofErr w:type="spellEnd"/>
      <w:r w:rsidR="002E31A6" w:rsidRPr="002E31A6">
        <w:rPr>
          <w:rFonts w:ascii="Arial" w:hAnsi="Arial" w:cs="Arial"/>
          <w:spacing w:val="-3"/>
          <w:lang w:val="es-AR"/>
        </w:rPr>
        <w:t>, e</w:t>
      </w:r>
      <w:r w:rsidR="002E31A6">
        <w:rPr>
          <w:rFonts w:ascii="Arial" w:hAnsi="Arial" w:cs="Arial"/>
          <w:spacing w:val="-3"/>
          <w:lang w:val="es-AR"/>
        </w:rPr>
        <w:t>l 23,6% a Instalaciones y el 8,6</w:t>
      </w:r>
      <w:r w:rsidR="002E31A6" w:rsidRPr="002E31A6">
        <w:rPr>
          <w:rFonts w:ascii="Arial" w:hAnsi="Arial" w:cs="Arial"/>
          <w:spacing w:val="-3"/>
          <w:lang w:val="es-AR"/>
        </w:rPr>
        <w:t xml:space="preserve">% restante a exploración y otras actividades </w:t>
      </w:r>
      <w:proofErr w:type="spellStart"/>
      <w:r w:rsidR="002E31A6" w:rsidRPr="002E31A6">
        <w:rPr>
          <w:rFonts w:ascii="Arial" w:hAnsi="Arial" w:cs="Arial"/>
          <w:spacing w:val="-3"/>
          <w:lang w:val="es-AR"/>
        </w:rPr>
        <w:t>Upstream</w:t>
      </w:r>
      <w:proofErr w:type="spellEnd"/>
      <w:r w:rsidR="002E31A6" w:rsidRPr="002E31A6">
        <w:rPr>
          <w:rFonts w:ascii="Arial" w:hAnsi="Arial" w:cs="Arial"/>
          <w:spacing w:val="-3"/>
          <w:lang w:val="es-AR"/>
        </w:rPr>
        <w:t>.</w:t>
      </w:r>
    </w:p>
    <w:p w14:paraId="46037A79" w14:textId="61447228" w:rsidR="002E31A6" w:rsidRPr="002E31A6" w:rsidRDefault="002E31A6" w:rsidP="002E31A6">
      <w:pPr>
        <w:spacing w:line="288" w:lineRule="auto"/>
        <w:jc w:val="both"/>
        <w:rPr>
          <w:rFonts w:ascii="Arial" w:hAnsi="Arial" w:cs="Arial"/>
          <w:spacing w:val="-3"/>
          <w:lang w:val="es-AR"/>
        </w:rPr>
      </w:pPr>
      <w:r w:rsidRPr="002E31A6">
        <w:rPr>
          <w:rFonts w:ascii="Arial" w:hAnsi="Arial" w:cs="Arial"/>
          <w:spacing w:val="-3"/>
          <w:lang w:val="es-AR"/>
        </w:rPr>
        <w:lastRenderedPageBreak/>
        <w:t xml:space="preserve">Al igual que en el primer trimestre del 2019, la actividad durante el segundo trimestre estuvo principalmente enfocada en el </w:t>
      </w:r>
      <w:proofErr w:type="spellStart"/>
      <w:r w:rsidRPr="002E31A6">
        <w:rPr>
          <w:rFonts w:ascii="Arial" w:hAnsi="Arial" w:cs="Arial"/>
          <w:spacing w:val="-3"/>
          <w:lang w:val="es-AR"/>
        </w:rPr>
        <w:t>shale</w:t>
      </w:r>
      <w:proofErr w:type="spellEnd"/>
      <w:r w:rsidRPr="002E31A6">
        <w:rPr>
          <w:rFonts w:ascii="Arial" w:hAnsi="Arial" w:cs="Arial"/>
          <w:spacing w:val="-3"/>
          <w:lang w:val="es-AR"/>
        </w:rPr>
        <w:t xml:space="preserve"> </w:t>
      </w:r>
      <w:proofErr w:type="spellStart"/>
      <w:r w:rsidRPr="002E31A6">
        <w:rPr>
          <w:rFonts w:ascii="Arial" w:hAnsi="Arial" w:cs="Arial"/>
          <w:spacing w:val="-3"/>
          <w:lang w:val="es-AR"/>
        </w:rPr>
        <w:t>oil</w:t>
      </w:r>
      <w:proofErr w:type="spellEnd"/>
      <w:r w:rsidRPr="002E31A6">
        <w:rPr>
          <w:rFonts w:ascii="Arial" w:hAnsi="Arial" w:cs="Arial"/>
          <w:spacing w:val="-3"/>
          <w:lang w:val="es-AR"/>
        </w:rPr>
        <w:t xml:space="preserve">, siendo los principales bloques el desarrollo de Loma Campana, La Amarga Chica y Bandurria Sur. Adicionalmente, iniciaron su actividad los pilotos de Loma La Lata Oeste y </w:t>
      </w:r>
      <w:proofErr w:type="spellStart"/>
      <w:r w:rsidRPr="002E31A6">
        <w:rPr>
          <w:rFonts w:ascii="Arial" w:hAnsi="Arial" w:cs="Arial"/>
          <w:spacing w:val="-3"/>
          <w:lang w:val="es-AR"/>
        </w:rPr>
        <w:t>Chihuido</w:t>
      </w:r>
      <w:proofErr w:type="spellEnd"/>
      <w:r w:rsidRPr="002E31A6">
        <w:rPr>
          <w:rFonts w:ascii="Arial" w:hAnsi="Arial" w:cs="Arial"/>
          <w:spacing w:val="-3"/>
          <w:lang w:val="es-AR"/>
        </w:rPr>
        <w:t xml:space="preserve"> de la Sierra Negra, como así también la actividad exploratoria en los bloques Las Manadas y Filo Morado.  </w:t>
      </w:r>
    </w:p>
    <w:p w14:paraId="1D7E682A" w14:textId="6DEECE9E" w:rsidR="002E31A6" w:rsidRDefault="002E31A6" w:rsidP="002E31A6">
      <w:pPr>
        <w:spacing w:line="288" w:lineRule="auto"/>
        <w:jc w:val="both"/>
        <w:rPr>
          <w:rFonts w:ascii="Arial" w:hAnsi="Arial" w:cs="Arial"/>
          <w:spacing w:val="-3"/>
          <w:lang w:val="es-AR"/>
        </w:rPr>
      </w:pPr>
      <w:r w:rsidRPr="002E31A6">
        <w:rPr>
          <w:rFonts w:ascii="Arial" w:hAnsi="Arial" w:cs="Arial"/>
          <w:spacing w:val="-3"/>
          <w:lang w:val="es-AR"/>
        </w:rPr>
        <w:t xml:space="preserve">En lo relativo al petróleo convencional, la actividad estuvo focalizada en proyectos de primaria como los ejecutados en los bloques Mesa Verde, Ugarteche, El Guadal, </w:t>
      </w:r>
      <w:proofErr w:type="spellStart"/>
      <w:r w:rsidRPr="002E31A6">
        <w:rPr>
          <w:rFonts w:ascii="Arial" w:hAnsi="Arial" w:cs="Arial"/>
          <w:spacing w:val="-3"/>
          <w:lang w:val="es-AR"/>
        </w:rPr>
        <w:t>Cañadon</w:t>
      </w:r>
      <w:proofErr w:type="spellEnd"/>
      <w:r w:rsidRPr="002E31A6">
        <w:rPr>
          <w:rFonts w:ascii="Arial" w:hAnsi="Arial" w:cs="Arial"/>
          <w:spacing w:val="-3"/>
          <w:lang w:val="es-AR"/>
        </w:rPr>
        <w:t xml:space="preserve"> Leon como así también en proyectos de recuperación secundaria principalmente en los bloques de </w:t>
      </w:r>
      <w:proofErr w:type="spellStart"/>
      <w:r w:rsidRPr="002E31A6">
        <w:rPr>
          <w:rFonts w:ascii="Arial" w:hAnsi="Arial" w:cs="Arial"/>
          <w:spacing w:val="-3"/>
          <w:lang w:val="es-AR"/>
        </w:rPr>
        <w:t>Chachahuen</w:t>
      </w:r>
      <w:proofErr w:type="spellEnd"/>
      <w:r w:rsidRPr="002E31A6">
        <w:rPr>
          <w:rFonts w:ascii="Arial" w:hAnsi="Arial" w:cs="Arial"/>
          <w:spacing w:val="-3"/>
          <w:lang w:val="es-AR"/>
        </w:rPr>
        <w:t>, Manantiales Behr, Los Perales, entre otros. A su vez, YPF ha empezado a incrementar sus pilotos de recuperación terciaria los cuales se visualizan en los bloques de Manantiales Behr, Los Perales y Desfiladero Bayo.</w:t>
      </w:r>
    </w:p>
    <w:p w14:paraId="1B7230B1" w14:textId="14F289D3" w:rsidR="009A0917" w:rsidRPr="00DB445F" w:rsidRDefault="009A0917" w:rsidP="00DB445F">
      <w:pPr>
        <w:spacing w:line="288" w:lineRule="auto"/>
        <w:jc w:val="both"/>
        <w:rPr>
          <w:rFonts w:ascii="Arial" w:hAnsi="Arial" w:cs="Arial"/>
          <w:lang w:val="es-AR"/>
        </w:rPr>
      </w:pPr>
      <w:bookmarkStart w:id="74" w:name="_Hlk2172177"/>
      <w:bookmarkStart w:id="75" w:name="_Hlk2172230"/>
      <w:bookmarkStart w:id="76" w:name="_Hlk2172296"/>
      <w:r w:rsidRPr="008854D0">
        <w:rPr>
          <w:rFonts w:ascii="Arial" w:hAnsi="Arial" w:cs="Arial"/>
          <w:lang w:val="es-AR"/>
        </w:rPr>
        <w:t xml:space="preserve">La actividad de </w:t>
      </w:r>
      <w:proofErr w:type="spellStart"/>
      <w:r w:rsidR="00412045" w:rsidRPr="008854D0">
        <w:rPr>
          <w:rFonts w:ascii="Arial" w:hAnsi="Arial" w:cs="Arial"/>
          <w:lang w:val="es-AR"/>
        </w:rPr>
        <w:t>s</w:t>
      </w:r>
      <w:r w:rsidRPr="008854D0">
        <w:rPr>
          <w:rFonts w:ascii="Arial" w:hAnsi="Arial" w:cs="Arial"/>
          <w:lang w:val="es-AR"/>
        </w:rPr>
        <w:t>hale</w:t>
      </w:r>
      <w:proofErr w:type="spellEnd"/>
      <w:r w:rsidRPr="008854D0">
        <w:rPr>
          <w:rFonts w:ascii="Arial" w:hAnsi="Arial" w:cs="Arial"/>
          <w:lang w:val="es-AR"/>
        </w:rPr>
        <w:t xml:space="preserve"> </w:t>
      </w:r>
      <w:r w:rsidR="00441FFA">
        <w:rPr>
          <w:rFonts w:ascii="Arial" w:hAnsi="Arial" w:cs="Arial"/>
          <w:lang w:val="es-AR"/>
        </w:rPr>
        <w:t>g</w:t>
      </w:r>
      <w:r w:rsidRPr="008854D0">
        <w:rPr>
          <w:rFonts w:ascii="Arial" w:hAnsi="Arial" w:cs="Arial"/>
          <w:lang w:val="es-AR"/>
        </w:rPr>
        <w:t xml:space="preserve">as durante </w:t>
      </w:r>
      <w:r w:rsidR="00412045" w:rsidRPr="008854D0">
        <w:rPr>
          <w:rFonts w:ascii="Arial" w:hAnsi="Arial" w:cs="Arial"/>
          <w:lang w:val="es-AR"/>
        </w:rPr>
        <w:t>el segundo trimestre 2019</w:t>
      </w:r>
      <w:r w:rsidRPr="008854D0">
        <w:rPr>
          <w:rFonts w:ascii="Arial" w:hAnsi="Arial" w:cs="Arial"/>
          <w:lang w:val="es-AR"/>
        </w:rPr>
        <w:t xml:space="preserve"> estuvo focalizada, así como en el </w:t>
      </w:r>
      <w:r w:rsidR="00412045" w:rsidRPr="008854D0">
        <w:rPr>
          <w:rFonts w:ascii="Arial" w:hAnsi="Arial" w:cs="Arial"/>
          <w:lang w:val="es-AR"/>
        </w:rPr>
        <w:t>primer trimestre</w:t>
      </w:r>
      <w:r w:rsidRPr="008854D0">
        <w:rPr>
          <w:rFonts w:ascii="Arial" w:hAnsi="Arial" w:cs="Arial"/>
          <w:lang w:val="es-AR"/>
        </w:rPr>
        <w:t xml:space="preserve">, en la finalización de la actividad iniciada durante el 2018 </w:t>
      </w:r>
      <w:r w:rsidR="00412045" w:rsidRPr="008854D0">
        <w:rPr>
          <w:rFonts w:ascii="Arial" w:hAnsi="Arial" w:cs="Arial"/>
          <w:lang w:val="es-AR"/>
        </w:rPr>
        <w:t>en</w:t>
      </w:r>
      <w:r w:rsidRPr="008854D0">
        <w:rPr>
          <w:rFonts w:ascii="Arial" w:hAnsi="Arial" w:cs="Arial"/>
          <w:lang w:val="es-AR"/>
        </w:rPr>
        <w:t xml:space="preserve"> los bloques de Rincón del Mangrullo, Aguada de la Arena y el O</w:t>
      </w:r>
      <w:r w:rsidR="00412045" w:rsidRPr="008854D0">
        <w:rPr>
          <w:rFonts w:ascii="Arial" w:hAnsi="Arial" w:cs="Arial"/>
          <w:lang w:val="es-AR"/>
        </w:rPr>
        <w:t xml:space="preserve">rejano. </w:t>
      </w:r>
      <w:proofErr w:type="gramStart"/>
      <w:r w:rsidR="00412045" w:rsidRPr="008854D0">
        <w:rPr>
          <w:rFonts w:ascii="Arial" w:hAnsi="Arial" w:cs="Arial"/>
          <w:lang w:val="es-AR"/>
        </w:rPr>
        <w:t>En relación al</w:t>
      </w:r>
      <w:proofErr w:type="gramEnd"/>
      <w:r w:rsidR="00412045" w:rsidRPr="008854D0">
        <w:rPr>
          <w:rFonts w:ascii="Arial" w:hAnsi="Arial" w:cs="Arial"/>
          <w:lang w:val="es-AR"/>
        </w:rPr>
        <w:t xml:space="preserve"> bloque </w:t>
      </w:r>
      <w:r w:rsidRPr="008854D0">
        <w:rPr>
          <w:rFonts w:ascii="Arial" w:hAnsi="Arial" w:cs="Arial"/>
          <w:lang w:val="es-AR"/>
        </w:rPr>
        <w:t xml:space="preserve">La Ribera se continuo con actividad que permita el </w:t>
      </w:r>
      <w:proofErr w:type="spellStart"/>
      <w:r w:rsidRPr="008854D0">
        <w:rPr>
          <w:rFonts w:ascii="Arial" w:hAnsi="Arial" w:cs="Arial"/>
          <w:lang w:val="es-AR"/>
        </w:rPr>
        <w:t>desri</w:t>
      </w:r>
      <w:r w:rsidR="00732199">
        <w:rPr>
          <w:rFonts w:ascii="Arial" w:hAnsi="Arial" w:cs="Arial"/>
          <w:lang w:val="es-AR"/>
        </w:rPr>
        <w:t>s</w:t>
      </w:r>
      <w:r w:rsidRPr="008854D0">
        <w:rPr>
          <w:rFonts w:ascii="Arial" w:hAnsi="Arial" w:cs="Arial"/>
          <w:lang w:val="es-AR"/>
        </w:rPr>
        <w:t>keo</w:t>
      </w:r>
      <w:proofErr w:type="spellEnd"/>
      <w:r w:rsidRPr="008854D0">
        <w:rPr>
          <w:rFonts w:ascii="Arial" w:hAnsi="Arial" w:cs="Arial"/>
          <w:lang w:val="es-AR"/>
        </w:rPr>
        <w:t xml:space="preserve"> del proyecto. En lo relativo al </w:t>
      </w:r>
      <w:proofErr w:type="spellStart"/>
      <w:r w:rsidR="00412045" w:rsidRPr="008854D0">
        <w:rPr>
          <w:rFonts w:ascii="Arial" w:hAnsi="Arial" w:cs="Arial"/>
          <w:lang w:val="es-AR"/>
        </w:rPr>
        <w:t>t</w:t>
      </w:r>
      <w:r w:rsidRPr="008854D0">
        <w:rPr>
          <w:rFonts w:ascii="Arial" w:hAnsi="Arial" w:cs="Arial"/>
          <w:lang w:val="es-AR"/>
        </w:rPr>
        <w:t>ight</w:t>
      </w:r>
      <w:proofErr w:type="spellEnd"/>
      <w:r w:rsidRPr="008854D0">
        <w:rPr>
          <w:rFonts w:ascii="Arial" w:hAnsi="Arial" w:cs="Arial"/>
          <w:lang w:val="es-AR"/>
        </w:rPr>
        <w:t xml:space="preserve"> gas, </w:t>
      </w:r>
      <w:r w:rsidR="00412045" w:rsidRPr="008854D0">
        <w:rPr>
          <w:rFonts w:ascii="Arial" w:hAnsi="Arial" w:cs="Arial"/>
          <w:lang w:val="es-AR"/>
        </w:rPr>
        <w:t>la principal actividad se concentró en el bloque Estación Fernández Oro (EFO)</w:t>
      </w:r>
      <w:r w:rsidRPr="008854D0">
        <w:rPr>
          <w:rFonts w:ascii="Arial" w:hAnsi="Arial" w:cs="Arial"/>
          <w:lang w:val="es-AR"/>
        </w:rPr>
        <w:t>.</w:t>
      </w:r>
    </w:p>
    <w:p w14:paraId="694362AC" w14:textId="29C4BCA1" w:rsidR="00A64703" w:rsidRPr="00B85105" w:rsidRDefault="00A64703" w:rsidP="00A64703">
      <w:pPr>
        <w:spacing w:line="288" w:lineRule="auto"/>
        <w:jc w:val="both"/>
        <w:rPr>
          <w:rFonts w:ascii="Arial" w:hAnsi="Arial" w:cs="Arial"/>
          <w:lang w:val="es-AR"/>
        </w:rPr>
      </w:pPr>
      <w:r w:rsidRPr="00B85105">
        <w:rPr>
          <w:rFonts w:ascii="Arial" w:hAnsi="Arial" w:cs="Arial"/>
          <w:lang w:val="es-AR"/>
        </w:rPr>
        <w:t xml:space="preserve">En lo que concierne a la actividad exploratoria, el segundo trimestre de 2019 cubrió las cuencas Neuquina, Golfo San Jorge y Cuyana. La actividad exploratoria en la cuenca Neuquina se enfocó en los bloques Las Manadas, Filo Morado, Loma la Lata, </w:t>
      </w:r>
      <w:proofErr w:type="spellStart"/>
      <w:r w:rsidRPr="00B85105">
        <w:rPr>
          <w:rFonts w:ascii="Arial" w:hAnsi="Arial" w:cs="Arial"/>
          <w:lang w:val="es-AR"/>
        </w:rPr>
        <w:t>Chachahuén</w:t>
      </w:r>
      <w:proofErr w:type="spellEnd"/>
      <w:r w:rsidRPr="00B85105">
        <w:rPr>
          <w:rFonts w:ascii="Arial" w:hAnsi="Arial" w:cs="Arial"/>
          <w:lang w:val="es-AR"/>
        </w:rPr>
        <w:t xml:space="preserve">, Rincón del Mangrullo, Al Norte de la Dorsal, El Manzano Oeste, Agua Salada, </w:t>
      </w:r>
      <w:proofErr w:type="spellStart"/>
      <w:r w:rsidRPr="00B85105">
        <w:rPr>
          <w:rFonts w:ascii="Arial" w:hAnsi="Arial" w:cs="Arial"/>
          <w:lang w:val="es-AR"/>
        </w:rPr>
        <w:t>Dadín</w:t>
      </w:r>
      <w:proofErr w:type="spellEnd"/>
      <w:r w:rsidRPr="00B85105">
        <w:rPr>
          <w:rFonts w:ascii="Arial" w:hAnsi="Arial" w:cs="Arial"/>
          <w:lang w:val="es-AR"/>
        </w:rPr>
        <w:t xml:space="preserve"> y CNQ7A. En la cuenca Golfo San Jorge la actividad se concentró en el bloque Cañadón de la Escondida. En la cuenca Cuyana la actividad se desarrolló en el bloque Mesa Verde.  </w:t>
      </w:r>
    </w:p>
    <w:p w14:paraId="592D47E2" w14:textId="77777777" w:rsidR="00A64703" w:rsidRPr="00A64703" w:rsidRDefault="00A64703" w:rsidP="00A64703">
      <w:pPr>
        <w:spacing w:line="288" w:lineRule="auto"/>
        <w:jc w:val="both"/>
        <w:rPr>
          <w:rFonts w:ascii="Arial" w:hAnsi="Arial" w:cs="Arial"/>
          <w:lang w:val="es-AR"/>
        </w:rPr>
      </w:pPr>
      <w:r w:rsidRPr="00B85105">
        <w:rPr>
          <w:rFonts w:ascii="Arial" w:hAnsi="Arial" w:cs="Arial"/>
          <w:lang w:val="es-AR"/>
        </w:rPr>
        <w:t>Durante el segundo trimestre del año se han finalizado 13 proyectos exploratorios (12 de petróleo y 1 de gas).</w:t>
      </w:r>
    </w:p>
    <w:p w14:paraId="4D0F9475" w14:textId="77777777" w:rsidR="00A64703" w:rsidRPr="00DB445F" w:rsidRDefault="00A64703" w:rsidP="003F05EF">
      <w:pPr>
        <w:spacing w:line="288" w:lineRule="auto"/>
        <w:jc w:val="both"/>
        <w:rPr>
          <w:rFonts w:ascii="Arial" w:hAnsi="Arial" w:cs="Arial"/>
          <w:lang w:val="es-AR"/>
        </w:rPr>
      </w:pPr>
    </w:p>
    <w:bookmarkEnd w:id="74"/>
    <w:bookmarkEnd w:id="75"/>
    <w:bookmarkEnd w:id="76"/>
    <w:p w14:paraId="6D2DEB54" w14:textId="0DA5C8C0" w:rsidR="004515DC" w:rsidRDefault="004515DC">
      <w:pPr>
        <w:spacing w:after="0" w:line="240" w:lineRule="auto"/>
        <w:rPr>
          <w:rFonts w:ascii="Arial" w:eastAsia="Times New Roman" w:hAnsi="Arial" w:cs="Arial"/>
          <w:b/>
          <w:color w:val="000000"/>
          <w:spacing w:val="-3"/>
          <w:sz w:val="24"/>
          <w:szCs w:val="20"/>
          <w:lang w:val="es-AR"/>
        </w:rPr>
      </w:pPr>
      <w:r>
        <w:rPr>
          <w:rFonts w:cs="Arial"/>
          <w:color w:val="000000"/>
          <w:spacing w:val="-3"/>
          <w:sz w:val="24"/>
          <w:lang w:val="es-AR"/>
        </w:rPr>
        <w:br w:type="page"/>
      </w:r>
    </w:p>
    <w:p w14:paraId="5EFB7ADE" w14:textId="556D02AC" w:rsidR="00274A9F" w:rsidRDefault="00E35A95" w:rsidP="00364FA5">
      <w:pPr>
        <w:pStyle w:val="Heading2"/>
        <w:rPr>
          <w:noProof/>
          <w:lang w:val="es-AR"/>
        </w:rPr>
      </w:pPr>
      <w:r>
        <w:rPr>
          <w:rFonts w:cs="Arial"/>
          <w:color w:val="000000"/>
          <w:spacing w:val="-3"/>
          <w:sz w:val="24"/>
          <w:lang w:val="es-AR"/>
        </w:rPr>
        <w:lastRenderedPageBreak/>
        <w:t>3</w:t>
      </w:r>
      <w:r w:rsidR="004268DE" w:rsidRPr="00485C1E">
        <w:rPr>
          <w:rFonts w:cs="Arial"/>
          <w:color w:val="000000"/>
          <w:spacing w:val="-3"/>
          <w:sz w:val="24"/>
          <w:lang w:val="es-AR"/>
        </w:rPr>
        <w:t>.2 DOWNSTREAM</w:t>
      </w:r>
    </w:p>
    <w:p w14:paraId="29F817AA" w14:textId="520C6CE8" w:rsidR="002A427F" w:rsidRDefault="00CD69C9" w:rsidP="00136DBF">
      <w:pPr>
        <w:spacing w:after="0" w:line="240" w:lineRule="auto"/>
        <w:jc w:val="center"/>
        <w:rPr>
          <w:rFonts w:ascii="Arial" w:hAnsi="Arial" w:cs="Arial"/>
          <w:b/>
          <w:bCs/>
          <w:noProof/>
          <w:spacing w:val="-3"/>
          <w:sz w:val="14"/>
          <w:szCs w:val="14"/>
          <w:lang w:val="es-AR"/>
        </w:rPr>
      </w:pPr>
      <w:r w:rsidRPr="00CD69C9">
        <w:rPr>
          <w:rFonts w:ascii="Arial" w:hAnsi="Arial" w:cs="Arial"/>
          <w:b/>
          <w:bCs/>
          <w:noProof/>
          <w:spacing w:val="-3"/>
          <w:sz w:val="14"/>
          <w:szCs w:val="14"/>
          <w:lang w:val="es-AR"/>
        </w:rPr>
        <w:t xml:space="preserve"> </w:t>
      </w:r>
      <w:r w:rsidR="00D51298" w:rsidRPr="00D51298">
        <w:rPr>
          <w:noProof/>
        </w:rPr>
        <w:drawing>
          <wp:inline distT="0" distB="0" distL="0" distR="0" wp14:anchorId="46A7A797" wp14:editId="136410E8">
            <wp:extent cx="6570980" cy="4886352"/>
            <wp:effectExtent l="0" t="0" r="127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70980" cy="4886352"/>
                    </a:xfrm>
                    <a:prstGeom prst="rect">
                      <a:avLst/>
                    </a:prstGeom>
                    <a:noFill/>
                    <a:ln>
                      <a:noFill/>
                    </a:ln>
                  </pic:spPr>
                </pic:pic>
              </a:graphicData>
            </a:graphic>
          </wp:inline>
        </w:drawing>
      </w:r>
    </w:p>
    <w:p w14:paraId="30C5B169" w14:textId="77777777" w:rsidR="005801F7" w:rsidRPr="00485C1E" w:rsidRDefault="005801F7" w:rsidP="00485C1E">
      <w:pPr>
        <w:spacing w:after="0" w:line="240" w:lineRule="auto"/>
        <w:jc w:val="center"/>
        <w:rPr>
          <w:rFonts w:ascii="Arial" w:hAnsi="Arial" w:cs="Arial"/>
          <w:b/>
          <w:bCs/>
          <w:noProof/>
          <w:spacing w:val="-3"/>
          <w:sz w:val="14"/>
          <w:szCs w:val="14"/>
          <w:lang w:val="es-AR"/>
        </w:rPr>
      </w:pPr>
    </w:p>
    <w:p w14:paraId="72D8B6E8" w14:textId="0A60A49B" w:rsidR="007B12E3" w:rsidRPr="00BF4611" w:rsidRDefault="00B83BB4" w:rsidP="007B12E3">
      <w:pPr>
        <w:spacing w:after="0"/>
        <w:jc w:val="both"/>
        <w:rPr>
          <w:rFonts w:ascii="Arial" w:hAnsi="Arial" w:cs="Arial"/>
          <w:b/>
          <w:sz w:val="12"/>
          <w:lang w:val="es-AR"/>
        </w:rPr>
      </w:pPr>
      <w:r w:rsidRPr="00F07A74">
        <w:rPr>
          <w:rFonts w:ascii="Arial" w:eastAsia="Times New Roman" w:hAnsi="Arial" w:cs="Arial"/>
          <w:sz w:val="14"/>
          <w:szCs w:val="14"/>
          <w:lang w:val="es-AR" w:eastAsia="es-AR"/>
        </w:rPr>
        <w:t>(</w:t>
      </w:r>
      <w:r>
        <w:rPr>
          <w:rFonts w:ascii="Arial" w:eastAsia="Times New Roman" w:hAnsi="Arial" w:cs="Arial"/>
          <w:sz w:val="14"/>
          <w:szCs w:val="14"/>
          <w:lang w:val="es-AR" w:eastAsia="es-AR"/>
        </w:rPr>
        <w:t>*</w:t>
      </w:r>
      <w:r w:rsidRPr="00F07A74">
        <w:rPr>
          <w:rFonts w:ascii="Arial" w:eastAsia="Times New Roman" w:hAnsi="Arial" w:cs="Arial"/>
          <w:sz w:val="14"/>
          <w:szCs w:val="14"/>
          <w:lang w:val="es-AR" w:eastAsia="es-AR"/>
        </w:rPr>
        <w:t>) No incluye las ventas de fertilizantes.</w:t>
      </w:r>
    </w:p>
    <w:p w14:paraId="29FE9A05" w14:textId="18ED933D" w:rsidR="007B6AF9" w:rsidRDefault="00196EAB" w:rsidP="00AE3016">
      <w:pPr>
        <w:spacing w:after="0"/>
        <w:jc w:val="both"/>
        <w:rPr>
          <w:rFonts w:ascii="Arial" w:eastAsia="Times New Roman" w:hAnsi="Arial" w:cs="Arial"/>
          <w:sz w:val="14"/>
          <w:szCs w:val="14"/>
          <w:lang w:val="es-AR" w:eastAsia="es-AR"/>
        </w:rPr>
      </w:pPr>
      <w:r>
        <w:rPr>
          <w:rFonts w:ascii="Arial" w:eastAsia="Times New Roman" w:hAnsi="Arial" w:cs="Arial"/>
          <w:sz w:val="14"/>
          <w:szCs w:val="14"/>
          <w:lang w:val="es-AR" w:eastAsia="es-AR"/>
        </w:rPr>
        <w:t>(**)</w:t>
      </w:r>
      <w:r w:rsidR="00063784">
        <w:rPr>
          <w:rFonts w:ascii="Arial" w:eastAsia="Times New Roman" w:hAnsi="Arial" w:cs="Arial"/>
          <w:sz w:val="14"/>
          <w:szCs w:val="14"/>
          <w:lang w:val="es-AR" w:eastAsia="es-AR"/>
        </w:rPr>
        <w:t xml:space="preserve"> </w:t>
      </w:r>
      <w:r w:rsidR="0057766D" w:rsidRPr="00B319A2">
        <w:rPr>
          <w:rFonts w:ascii="Arial" w:eastAsia="Times New Roman" w:hAnsi="Arial" w:cs="Arial"/>
          <w:sz w:val="14"/>
          <w:szCs w:val="14"/>
          <w:lang w:val="es-AR" w:eastAsia="es-AR"/>
        </w:rPr>
        <w:t>El precio neto promedio del gasoil para Q2 2018 sufrió un ajuste porque ingresaron comisiones pendientes.</w:t>
      </w:r>
    </w:p>
    <w:p w14:paraId="4729099C" w14:textId="77777777" w:rsidR="00AE3016" w:rsidRPr="00AE3016" w:rsidRDefault="00AE3016" w:rsidP="00AE3016">
      <w:pPr>
        <w:spacing w:after="0"/>
        <w:jc w:val="both"/>
        <w:rPr>
          <w:rFonts w:ascii="Arial" w:eastAsia="Times New Roman" w:hAnsi="Arial" w:cs="Arial"/>
          <w:sz w:val="14"/>
          <w:szCs w:val="14"/>
          <w:lang w:val="es-AR" w:eastAsia="es-AR"/>
        </w:rPr>
      </w:pPr>
    </w:p>
    <w:p w14:paraId="3C82A99F" w14:textId="4591F7D5" w:rsidR="00DB1EA8" w:rsidRDefault="001D5FEE" w:rsidP="008F67C9">
      <w:pPr>
        <w:pStyle w:val="BodyText"/>
        <w:spacing w:before="120" w:line="288" w:lineRule="auto"/>
        <w:jc w:val="both"/>
        <w:rPr>
          <w:rFonts w:ascii="Arial" w:hAnsi="Arial" w:cs="Arial"/>
          <w:spacing w:val="-3"/>
          <w:lang w:val="es-AR"/>
        </w:rPr>
      </w:pPr>
      <w:r w:rsidRPr="00F2150D">
        <w:rPr>
          <w:rFonts w:ascii="Arial" w:hAnsi="Arial" w:cs="Arial"/>
          <w:spacing w:val="-3"/>
          <w:lang w:val="es-AR"/>
        </w:rPr>
        <w:t xml:space="preserve">El segmento del </w:t>
      </w:r>
      <w:proofErr w:type="spellStart"/>
      <w:r w:rsidRPr="00F2150D">
        <w:rPr>
          <w:rFonts w:ascii="Arial" w:hAnsi="Arial" w:cs="Arial"/>
          <w:spacing w:val="-3"/>
          <w:lang w:val="es-AR"/>
        </w:rPr>
        <w:t>Downstream</w:t>
      </w:r>
      <w:proofErr w:type="spellEnd"/>
      <w:r w:rsidRPr="00F2150D">
        <w:rPr>
          <w:rFonts w:ascii="Arial" w:hAnsi="Arial" w:cs="Arial"/>
          <w:spacing w:val="-3"/>
          <w:lang w:val="es-AR"/>
        </w:rPr>
        <w:t xml:space="preserve"> en el </w:t>
      </w:r>
      <w:r w:rsidR="006B6A29">
        <w:rPr>
          <w:rFonts w:ascii="Arial" w:hAnsi="Arial" w:cs="Arial"/>
          <w:spacing w:val="-3"/>
          <w:lang w:val="es-AR"/>
        </w:rPr>
        <w:t>2</w:t>
      </w:r>
      <w:r w:rsidR="008B1044">
        <w:rPr>
          <w:rFonts w:ascii="Arial" w:hAnsi="Arial" w:cs="Arial"/>
          <w:spacing w:val="-3"/>
          <w:lang w:val="es-AR"/>
        </w:rPr>
        <w:t>T</w:t>
      </w:r>
      <w:r w:rsidRPr="00F2150D">
        <w:rPr>
          <w:rFonts w:ascii="Arial" w:hAnsi="Arial" w:cs="Arial"/>
          <w:spacing w:val="-3"/>
          <w:lang w:val="es-AR"/>
        </w:rPr>
        <w:t xml:space="preserve"> de </w:t>
      </w:r>
      <w:r w:rsidR="00AF7792">
        <w:rPr>
          <w:rFonts w:ascii="Arial" w:hAnsi="Arial" w:cs="Arial"/>
          <w:spacing w:val="-3"/>
          <w:lang w:val="es-AR"/>
        </w:rPr>
        <w:t>201</w:t>
      </w:r>
      <w:r w:rsidR="00C67440">
        <w:rPr>
          <w:rFonts w:ascii="Arial" w:hAnsi="Arial" w:cs="Arial"/>
          <w:spacing w:val="-3"/>
          <w:lang w:val="es-AR"/>
        </w:rPr>
        <w:t>9</w:t>
      </w:r>
      <w:r w:rsidR="008B1044">
        <w:rPr>
          <w:rFonts w:ascii="Arial" w:hAnsi="Arial" w:cs="Arial"/>
          <w:spacing w:val="-3"/>
          <w:lang w:val="es-AR"/>
        </w:rPr>
        <w:t xml:space="preserve"> </w:t>
      </w:r>
      <w:r w:rsidRPr="00F2150D">
        <w:rPr>
          <w:rFonts w:ascii="Arial" w:hAnsi="Arial" w:cs="Arial"/>
          <w:spacing w:val="-3"/>
          <w:lang w:val="es-AR"/>
        </w:rPr>
        <w:t xml:space="preserve">registró </w:t>
      </w:r>
      <w:r w:rsidR="00781A67">
        <w:rPr>
          <w:rFonts w:ascii="Arial" w:hAnsi="Arial" w:cs="Arial"/>
          <w:spacing w:val="-3"/>
          <w:lang w:val="es-AR"/>
        </w:rPr>
        <w:t>un resultado operativo</w:t>
      </w:r>
      <w:r w:rsidRPr="00F2150D">
        <w:rPr>
          <w:rFonts w:ascii="Arial" w:hAnsi="Arial" w:cs="Arial"/>
          <w:spacing w:val="-3"/>
          <w:lang w:val="es-AR"/>
        </w:rPr>
        <w:t xml:space="preserve"> de </w:t>
      </w:r>
      <w:proofErr w:type="spellStart"/>
      <w:r w:rsidRPr="00F2150D">
        <w:rPr>
          <w:rFonts w:ascii="Arial" w:hAnsi="Arial" w:cs="Arial"/>
          <w:spacing w:val="-3"/>
          <w:lang w:val="es-AR"/>
        </w:rPr>
        <w:t>Ps</w:t>
      </w:r>
      <w:proofErr w:type="spellEnd"/>
      <w:r w:rsidRPr="00F2150D">
        <w:rPr>
          <w:rFonts w:ascii="Arial" w:hAnsi="Arial" w:cs="Arial"/>
          <w:spacing w:val="-3"/>
          <w:lang w:val="es-AR"/>
        </w:rPr>
        <w:t xml:space="preserve"> </w:t>
      </w:r>
      <w:r w:rsidR="00A61ABF">
        <w:rPr>
          <w:rFonts w:ascii="Arial" w:hAnsi="Arial" w:cs="Arial"/>
          <w:spacing w:val="-3"/>
          <w:lang w:val="es-AR"/>
        </w:rPr>
        <w:t>1,3</w:t>
      </w:r>
      <w:r w:rsidRPr="00F2150D">
        <w:rPr>
          <w:rFonts w:ascii="Arial" w:hAnsi="Arial" w:cs="Arial"/>
          <w:spacing w:val="-3"/>
          <w:lang w:val="es-AR"/>
        </w:rPr>
        <w:t xml:space="preserve"> </w:t>
      </w:r>
      <w:r w:rsidR="008B1044">
        <w:rPr>
          <w:rFonts w:ascii="Arial" w:hAnsi="Arial" w:cs="Arial"/>
          <w:spacing w:val="-3"/>
          <w:lang w:val="es-AR"/>
        </w:rPr>
        <w:t>MM</w:t>
      </w:r>
      <w:r w:rsidRPr="00F2150D">
        <w:rPr>
          <w:rFonts w:ascii="Arial" w:hAnsi="Arial" w:cs="Arial"/>
          <w:spacing w:val="-3"/>
          <w:lang w:val="es-AR"/>
        </w:rPr>
        <w:t xml:space="preserve">, </w:t>
      </w:r>
      <w:r w:rsidR="00F2150D" w:rsidRPr="00F2150D">
        <w:rPr>
          <w:rFonts w:ascii="Arial" w:hAnsi="Arial" w:cs="Arial"/>
          <w:spacing w:val="-3"/>
          <w:lang w:val="es-AR"/>
        </w:rPr>
        <w:t>lo que representa un</w:t>
      </w:r>
      <w:r w:rsidR="003B64E0">
        <w:rPr>
          <w:rFonts w:ascii="Arial" w:hAnsi="Arial" w:cs="Arial"/>
          <w:spacing w:val="-3"/>
          <w:lang w:val="es-AR"/>
        </w:rPr>
        <w:t xml:space="preserve"> aumento</w:t>
      </w:r>
      <w:r w:rsidR="008F67C9">
        <w:rPr>
          <w:rFonts w:ascii="Arial" w:hAnsi="Arial" w:cs="Arial"/>
          <w:spacing w:val="-3"/>
          <w:lang w:val="es-AR"/>
        </w:rPr>
        <w:t xml:space="preserve"> </w:t>
      </w:r>
      <w:r w:rsidR="00F2150D" w:rsidRPr="00F2150D">
        <w:rPr>
          <w:rFonts w:ascii="Arial" w:hAnsi="Arial" w:cs="Arial"/>
          <w:spacing w:val="-3"/>
          <w:lang w:val="es-AR"/>
        </w:rPr>
        <w:t>del</w:t>
      </w:r>
      <w:r w:rsidRPr="00F2150D">
        <w:rPr>
          <w:rFonts w:ascii="Arial" w:hAnsi="Arial" w:cs="Arial"/>
          <w:spacing w:val="-3"/>
          <w:lang w:val="es-AR"/>
        </w:rPr>
        <w:t xml:space="preserve"> </w:t>
      </w:r>
      <w:r w:rsidR="00A61ABF" w:rsidRPr="00B319A2">
        <w:rPr>
          <w:rFonts w:ascii="Arial" w:hAnsi="Arial" w:cs="Arial"/>
          <w:spacing w:val="-3"/>
          <w:lang w:val="es-AR"/>
        </w:rPr>
        <w:t>270,9</w:t>
      </w:r>
      <w:r w:rsidRPr="00B319A2">
        <w:rPr>
          <w:rFonts w:ascii="Arial" w:hAnsi="Arial" w:cs="Arial"/>
          <w:spacing w:val="-3"/>
          <w:lang w:val="es-AR"/>
        </w:rPr>
        <w:t xml:space="preserve">% </w:t>
      </w:r>
      <w:r w:rsidR="00AF7792" w:rsidRPr="00B319A2">
        <w:rPr>
          <w:rFonts w:ascii="Arial" w:hAnsi="Arial" w:cs="Arial"/>
          <w:spacing w:val="-3"/>
          <w:lang w:val="es-AR"/>
        </w:rPr>
        <w:t>frente a</w:t>
      </w:r>
      <w:r w:rsidR="00136DBF" w:rsidRPr="00B319A2">
        <w:rPr>
          <w:rFonts w:ascii="Arial" w:hAnsi="Arial" w:cs="Arial"/>
          <w:spacing w:val="-3"/>
          <w:lang w:val="es-AR"/>
        </w:rPr>
        <w:t xml:space="preserve"> la ganancia operativa de </w:t>
      </w:r>
      <w:proofErr w:type="spellStart"/>
      <w:r w:rsidR="00136DBF" w:rsidRPr="00B319A2">
        <w:rPr>
          <w:rFonts w:ascii="Arial" w:hAnsi="Arial" w:cs="Arial"/>
          <w:spacing w:val="-3"/>
          <w:lang w:val="es-AR"/>
        </w:rPr>
        <w:t>Ps</w:t>
      </w:r>
      <w:proofErr w:type="spellEnd"/>
      <w:r w:rsidR="00136DBF" w:rsidRPr="00B319A2">
        <w:rPr>
          <w:rFonts w:ascii="Arial" w:hAnsi="Arial" w:cs="Arial"/>
          <w:spacing w:val="-3"/>
          <w:lang w:val="es-AR"/>
        </w:rPr>
        <w:t xml:space="preserve"> 0,4 </w:t>
      </w:r>
      <w:r w:rsidR="00F2150D" w:rsidRPr="00B319A2">
        <w:rPr>
          <w:rFonts w:ascii="Arial" w:hAnsi="Arial" w:cs="Arial"/>
          <w:spacing w:val="-3"/>
          <w:lang w:val="es-AR"/>
        </w:rPr>
        <w:t>MM reportada</w:t>
      </w:r>
      <w:r w:rsidRPr="00B319A2">
        <w:rPr>
          <w:rFonts w:ascii="Arial" w:hAnsi="Arial" w:cs="Arial"/>
          <w:spacing w:val="-3"/>
          <w:lang w:val="es-AR"/>
        </w:rPr>
        <w:t xml:space="preserve"> en el </w:t>
      </w:r>
      <w:r w:rsidR="006B6A29" w:rsidRPr="00B319A2">
        <w:rPr>
          <w:rFonts w:ascii="Arial" w:hAnsi="Arial" w:cs="Arial"/>
          <w:spacing w:val="-3"/>
          <w:lang w:val="es-AR"/>
        </w:rPr>
        <w:t>2</w:t>
      </w:r>
      <w:r w:rsidR="00AF7792" w:rsidRPr="00B319A2">
        <w:rPr>
          <w:rFonts w:ascii="Arial" w:hAnsi="Arial" w:cs="Arial"/>
          <w:spacing w:val="-3"/>
          <w:lang w:val="es-AR"/>
        </w:rPr>
        <w:t>T 201</w:t>
      </w:r>
      <w:r w:rsidR="00C67440" w:rsidRPr="00B319A2">
        <w:rPr>
          <w:rFonts w:ascii="Arial" w:hAnsi="Arial" w:cs="Arial"/>
          <w:spacing w:val="-3"/>
          <w:lang w:val="es-AR"/>
        </w:rPr>
        <w:t>8</w:t>
      </w:r>
      <w:r w:rsidRPr="00B319A2">
        <w:rPr>
          <w:rFonts w:ascii="Arial" w:hAnsi="Arial" w:cs="Arial"/>
          <w:spacing w:val="-3"/>
          <w:lang w:val="es-AR"/>
        </w:rPr>
        <w:t>.</w:t>
      </w:r>
      <w:r w:rsidR="008F67C9">
        <w:rPr>
          <w:rFonts w:ascii="Arial" w:hAnsi="Arial" w:cs="Arial"/>
          <w:spacing w:val="-3"/>
          <w:lang w:val="es-AR"/>
        </w:rPr>
        <w:t xml:space="preserve"> </w:t>
      </w:r>
    </w:p>
    <w:p w14:paraId="4D46EF28" w14:textId="711C0DDF" w:rsidR="002329A6" w:rsidRPr="00485C1E" w:rsidRDefault="00DB1EA8" w:rsidP="00485C1E">
      <w:pPr>
        <w:pStyle w:val="BodyText"/>
        <w:spacing w:before="120" w:line="288" w:lineRule="auto"/>
        <w:jc w:val="both"/>
        <w:rPr>
          <w:w w:val="0"/>
          <w:lang w:val="es-AR"/>
        </w:rPr>
      </w:pPr>
      <w:r w:rsidRPr="00DB1EA8">
        <w:rPr>
          <w:rFonts w:ascii="Arial" w:hAnsi="Arial" w:cs="Arial"/>
          <w:spacing w:val="-3"/>
          <w:lang w:val="es-AR"/>
        </w:rPr>
        <w:t xml:space="preserve">Los ingresos netos del segmento </w:t>
      </w:r>
      <w:proofErr w:type="spellStart"/>
      <w:r w:rsidRPr="00DB1EA8">
        <w:rPr>
          <w:rFonts w:ascii="Arial" w:hAnsi="Arial" w:cs="Arial"/>
          <w:spacing w:val="-3"/>
          <w:lang w:val="es-AR"/>
        </w:rPr>
        <w:t>Downstream</w:t>
      </w:r>
      <w:proofErr w:type="spellEnd"/>
      <w:r w:rsidRPr="00DB1EA8">
        <w:rPr>
          <w:rFonts w:ascii="Arial" w:hAnsi="Arial" w:cs="Arial"/>
          <w:spacing w:val="-3"/>
          <w:lang w:val="es-AR"/>
        </w:rPr>
        <w:t xml:space="preserve">, durante el </w:t>
      </w:r>
      <w:r w:rsidR="006B6A29">
        <w:rPr>
          <w:rFonts w:ascii="Arial" w:hAnsi="Arial" w:cs="Arial"/>
          <w:spacing w:val="-3"/>
          <w:lang w:val="es-AR"/>
        </w:rPr>
        <w:t>segundo</w:t>
      </w:r>
      <w:r w:rsidRPr="00DB1EA8">
        <w:rPr>
          <w:rFonts w:ascii="Arial" w:hAnsi="Arial" w:cs="Arial"/>
          <w:spacing w:val="-3"/>
          <w:lang w:val="es-AR"/>
        </w:rPr>
        <w:t xml:space="preserve"> trimestre</w:t>
      </w:r>
      <w:r w:rsidR="00C67440">
        <w:rPr>
          <w:rFonts w:ascii="Arial" w:hAnsi="Arial" w:cs="Arial"/>
          <w:spacing w:val="-3"/>
          <w:lang w:val="es-AR"/>
        </w:rPr>
        <w:t xml:space="preserve"> de 2019</w:t>
      </w:r>
      <w:r w:rsidR="00136DBF">
        <w:rPr>
          <w:rFonts w:ascii="Arial" w:hAnsi="Arial" w:cs="Arial"/>
          <w:spacing w:val="-3"/>
          <w:lang w:val="es-AR"/>
        </w:rPr>
        <w:t xml:space="preserve"> alcanzaron los </w:t>
      </w:r>
      <w:proofErr w:type="spellStart"/>
      <w:r w:rsidR="00136DBF">
        <w:rPr>
          <w:rFonts w:ascii="Arial" w:hAnsi="Arial" w:cs="Arial"/>
          <w:spacing w:val="-3"/>
          <w:lang w:val="es-AR"/>
        </w:rPr>
        <w:t>Ps</w:t>
      </w:r>
      <w:proofErr w:type="spellEnd"/>
      <w:r w:rsidR="00136DBF">
        <w:rPr>
          <w:rFonts w:ascii="Arial" w:hAnsi="Arial" w:cs="Arial"/>
          <w:spacing w:val="-3"/>
          <w:lang w:val="es-AR"/>
        </w:rPr>
        <w:t xml:space="preserve"> 125,1</w:t>
      </w:r>
      <w:r w:rsidR="003B64E0">
        <w:rPr>
          <w:rFonts w:ascii="Arial" w:hAnsi="Arial" w:cs="Arial"/>
          <w:spacing w:val="-3"/>
          <w:lang w:val="es-AR"/>
        </w:rPr>
        <w:t xml:space="preserve"> </w:t>
      </w:r>
      <w:r w:rsidRPr="00DB1EA8">
        <w:rPr>
          <w:rFonts w:ascii="Arial" w:hAnsi="Arial" w:cs="Arial"/>
          <w:spacing w:val="-3"/>
          <w:lang w:val="es-AR"/>
        </w:rPr>
        <w:t>MM, repr</w:t>
      </w:r>
      <w:r w:rsidR="00136DBF">
        <w:rPr>
          <w:rFonts w:ascii="Arial" w:hAnsi="Arial" w:cs="Arial"/>
          <w:spacing w:val="-3"/>
          <w:lang w:val="es-AR"/>
        </w:rPr>
        <w:t>esentando un incremento de 78,0</w:t>
      </w:r>
      <w:r w:rsidR="003B64E0">
        <w:rPr>
          <w:rFonts w:ascii="Arial" w:hAnsi="Arial" w:cs="Arial"/>
          <w:spacing w:val="-3"/>
          <w:lang w:val="es-AR"/>
        </w:rPr>
        <w:t>% en relació</w:t>
      </w:r>
      <w:r w:rsidR="00136DBF">
        <w:rPr>
          <w:rFonts w:ascii="Arial" w:hAnsi="Arial" w:cs="Arial"/>
          <w:spacing w:val="-3"/>
          <w:lang w:val="es-AR"/>
        </w:rPr>
        <w:t xml:space="preserve">n con los </w:t>
      </w:r>
      <w:proofErr w:type="spellStart"/>
      <w:r w:rsidR="00136DBF">
        <w:rPr>
          <w:rFonts w:ascii="Arial" w:hAnsi="Arial" w:cs="Arial"/>
          <w:spacing w:val="-3"/>
          <w:lang w:val="es-AR"/>
        </w:rPr>
        <w:t>Ps</w:t>
      </w:r>
      <w:proofErr w:type="spellEnd"/>
      <w:r w:rsidR="00136DBF">
        <w:rPr>
          <w:rFonts w:ascii="Arial" w:hAnsi="Arial" w:cs="Arial"/>
          <w:spacing w:val="-3"/>
          <w:lang w:val="es-AR"/>
        </w:rPr>
        <w:t xml:space="preserve"> 7</w:t>
      </w:r>
      <w:r w:rsidR="003B64E0">
        <w:rPr>
          <w:rFonts w:ascii="Arial" w:hAnsi="Arial" w:cs="Arial"/>
          <w:spacing w:val="-3"/>
          <w:lang w:val="es-AR"/>
        </w:rPr>
        <w:t>0,3</w:t>
      </w:r>
      <w:r w:rsidRPr="00DB1EA8">
        <w:rPr>
          <w:rFonts w:ascii="Arial" w:hAnsi="Arial" w:cs="Arial"/>
          <w:spacing w:val="-3"/>
          <w:lang w:val="es-AR"/>
        </w:rPr>
        <w:t xml:space="preserve"> MM correspon</w:t>
      </w:r>
      <w:r w:rsidR="00C67440">
        <w:rPr>
          <w:rFonts w:ascii="Arial" w:hAnsi="Arial" w:cs="Arial"/>
          <w:spacing w:val="-3"/>
          <w:lang w:val="es-AR"/>
        </w:rPr>
        <w:t>dientes al mismo período de 2018</w:t>
      </w:r>
      <w:r w:rsidRPr="00DB1EA8">
        <w:rPr>
          <w:rFonts w:ascii="Arial" w:hAnsi="Arial" w:cs="Arial"/>
          <w:spacing w:val="-3"/>
          <w:lang w:val="es-AR"/>
        </w:rPr>
        <w:t xml:space="preserve">. </w:t>
      </w:r>
      <w:r w:rsidR="00047EC6" w:rsidRPr="00047EC6">
        <w:rPr>
          <w:rFonts w:ascii="Arial" w:hAnsi="Arial" w:cs="Arial"/>
          <w:spacing w:val="-3"/>
          <w:lang w:val="es-AR"/>
        </w:rPr>
        <w:t>Este incremento se produce debido a los siguientes factores:</w:t>
      </w:r>
    </w:p>
    <w:p w14:paraId="2716C3AA" w14:textId="52A2BCAB" w:rsidR="00D95051" w:rsidRDefault="00D95051" w:rsidP="00485C1E">
      <w:pPr>
        <w:numPr>
          <w:ilvl w:val="0"/>
          <w:numId w:val="5"/>
        </w:numPr>
        <w:spacing w:after="120" w:line="288" w:lineRule="auto"/>
        <w:ind w:left="993" w:hanging="283"/>
        <w:jc w:val="both"/>
        <w:rPr>
          <w:rFonts w:ascii="Arial" w:hAnsi="Arial" w:cs="Arial"/>
          <w:w w:val="0"/>
          <w:lang w:val="es-AR"/>
        </w:rPr>
      </w:pPr>
      <w:bookmarkStart w:id="77" w:name="_Hlk2176275"/>
      <w:r w:rsidRPr="00B549A9">
        <w:rPr>
          <w:rFonts w:ascii="Arial" w:hAnsi="Arial" w:cs="Arial"/>
          <w:w w:val="0"/>
          <w:lang w:val="es-AR"/>
        </w:rPr>
        <w:t>Las vent</w:t>
      </w:r>
      <w:r>
        <w:rPr>
          <w:rFonts w:ascii="Arial" w:hAnsi="Arial" w:cs="Arial"/>
          <w:w w:val="0"/>
          <w:lang w:val="es-AR"/>
        </w:rPr>
        <w:t xml:space="preserve">as de gas </w:t>
      </w:r>
      <w:proofErr w:type="spellStart"/>
      <w:r>
        <w:rPr>
          <w:rFonts w:ascii="Arial" w:hAnsi="Arial" w:cs="Arial"/>
          <w:w w:val="0"/>
          <w:lang w:val="es-AR"/>
        </w:rPr>
        <w:t>oil</w:t>
      </w:r>
      <w:proofErr w:type="spellEnd"/>
      <w:r>
        <w:rPr>
          <w:rFonts w:ascii="Arial" w:hAnsi="Arial" w:cs="Arial"/>
          <w:w w:val="0"/>
          <w:lang w:val="es-AR"/>
        </w:rPr>
        <w:t xml:space="preserve"> del </w:t>
      </w:r>
      <w:r w:rsidR="006B6A29">
        <w:rPr>
          <w:rFonts w:ascii="Arial" w:hAnsi="Arial" w:cs="Arial"/>
          <w:w w:val="0"/>
          <w:lang w:val="es-AR"/>
        </w:rPr>
        <w:t>segundo</w:t>
      </w:r>
      <w:r w:rsidR="00C67440">
        <w:rPr>
          <w:rFonts w:ascii="Arial" w:hAnsi="Arial" w:cs="Arial"/>
          <w:w w:val="0"/>
          <w:lang w:val="es-AR"/>
        </w:rPr>
        <w:t xml:space="preserve"> </w:t>
      </w:r>
      <w:r>
        <w:rPr>
          <w:rFonts w:ascii="Arial" w:hAnsi="Arial" w:cs="Arial"/>
          <w:w w:val="0"/>
          <w:lang w:val="es-AR"/>
        </w:rPr>
        <w:t>tr</w:t>
      </w:r>
      <w:r w:rsidR="00C67440">
        <w:rPr>
          <w:rFonts w:ascii="Arial" w:hAnsi="Arial" w:cs="Arial"/>
          <w:w w:val="0"/>
          <w:lang w:val="es-AR"/>
        </w:rPr>
        <w:t>imestre 2019</w:t>
      </w:r>
      <w:r w:rsidR="006173CE">
        <w:rPr>
          <w:rFonts w:ascii="Arial" w:hAnsi="Arial" w:cs="Arial"/>
          <w:w w:val="0"/>
          <w:lang w:val="es-AR"/>
        </w:rPr>
        <w:t xml:space="preserve"> ascendieron a </w:t>
      </w:r>
      <w:proofErr w:type="spellStart"/>
      <w:r w:rsidR="006173CE">
        <w:rPr>
          <w:rFonts w:ascii="Arial" w:hAnsi="Arial" w:cs="Arial"/>
          <w:w w:val="0"/>
          <w:lang w:val="es-AR"/>
        </w:rPr>
        <w:t>Ps</w:t>
      </w:r>
      <w:proofErr w:type="spellEnd"/>
      <w:r w:rsidR="006173CE">
        <w:rPr>
          <w:rFonts w:ascii="Arial" w:hAnsi="Arial" w:cs="Arial"/>
          <w:w w:val="0"/>
          <w:lang w:val="es-AR"/>
        </w:rPr>
        <w:t xml:space="preserve"> 53</w:t>
      </w:r>
      <w:r w:rsidR="003B64E0">
        <w:rPr>
          <w:rFonts w:ascii="Arial" w:hAnsi="Arial" w:cs="Arial"/>
          <w:w w:val="0"/>
          <w:lang w:val="es-AR"/>
        </w:rPr>
        <w:t>,6</w:t>
      </w:r>
      <w:r>
        <w:rPr>
          <w:rFonts w:ascii="Arial" w:hAnsi="Arial" w:cs="Arial"/>
          <w:w w:val="0"/>
          <w:lang w:val="es-AR"/>
        </w:rPr>
        <w:t xml:space="preserve"> MM, siendo superiores a las del </w:t>
      </w:r>
      <w:r w:rsidR="006B6A29">
        <w:rPr>
          <w:rFonts w:ascii="Arial" w:hAnsi="Arial" w:cs="Arial"/>
          <w:w w:val="0"/>
          <w:lang w:val="es-AR"/>
        </w:rPr>
        <w:t>segundo</w:t>
      </w:r>
      <w:r w:rsidR="00C67440">
        <w:rPr>
          <w:rFonts w:ascii="Arial" w:hAnsi="Arial" w:cs="Arial"/>
          <w:w w:val="0"/>
          <w:lang w:val="es-AR"/>
        </w:rPr>
        <w:t xml:space="preserve"> trimestre 2018</w:t>
      </w:r>
      <w:r>
        <w:rPr>
          <w:rFonts w:ascii="Arial" w:hAnsi="Arial" w:cs="Arial"/>
          <w:w w:val="0"/>
          <w:lang w:val="es-AR"/>
        </w:rPr>
        <w:t xml:space="preserve"> en </w:t>
      </w:r>
      <w:proofErr w:type="spellStart"/>
      <w:r>
        <w:rPr>
          <w:rFonts w:ascii="Arial" w:hAnsi="Arial" w:cs="Arial"/>
          <w:w w:val="0"/>
          <w:lang w:val="es-AR"/>
        </w:rPr>
        <w:t>Ps</w:t>
      </w:r>
      <w:proofErr w:type="spellEnd"/>
      <w:r>
        <w:rPr>
          <w:rFonts w:ascii="Arial" w:hAnsi="Arial" w:cs="Arial"/>
          <w:w w:val="0"/>
          <w:lang w:val="es-AR"/>
        </w:rPr>
        <w:t xml:space="preserve"> </w:t>
      </w:r>
      <w:r w:rsidR="003B64E0">
        <w:rPr>
          <w:rFonts w:ascii="Arial" w:hAnsi="Arial" w:cs="Arial"/>
          <w:w w:val="0"/>
          <w:lang w:val="es-AR"/>
        </w:rPr>
        <w:t>2</w:t>
      </w:r>
      <w:r w:rsidR="00FA56BB">
        <w:rPr>
          <w:rFonts w:ascii="Arial" w:hAnsi="Arial" w:cs="Arial"/>
          <w:w w:val="0"/>
          <w:lang w:val="es-AR"/>
        </w:rPr>
        <w:t>5,1</w:t>
      </w:r>
      <w:r w:rsidR="00F609BF" w:rsidRPr="00B549A9">
        <w:rPr>
          <w:rFonts w:ascii="Arial" w:hAnsi="Arial" w:cs="Arial"/>
          <w:w w:val="0"/>
          <w:lang w:val="es-AR"/>
        </w:rPr>
        <w:t xml:space="preserve"> </w:t>
      </w:r>
      <w:r w:rsidRPr="00B549A9">
        <w:rPr>
          <w:rFonts w:ascii="Arial" w:hAnsi="Arial" w:cs="Arial"/>
          <w:w w:val="0"/>
          <w:lang w:val="es-AR"/>
        </w:rPr>
        <w:t>MM</w:t>
      </w:r>
      <w:r w:rsidR="003B64E0">
        <w:rPr>
          <w:rFonts w:ascii="Arial" w:hAnsi="Arial" w:cs="Arial"/>
          <w:w w:val="0"/>
          <w:lang w:val="es-AR"/>
        </w:rPr>
        <w:t xml:space="preserve">, o </w:t>
      </w:r>
      <w:r w:rsidR="00FA56BB">
        <w:rPr>
          <w:rFonts w:ascii="Arial" w:hAnsi="Arial" w:cs="Arial"/>
          <w:w w:val="0"/>
          <w:lang w:val="es-AR"/>
        </w:rPr>
        <w:t>87,7</w:t>
      </w:r>
      <w:r>
        <w:rPr>
          <w:rFonts w:ascii="Arial" w:hAnsi="Arial" w:cs="Arial"/>
          <w:w w:val="0"/>
          <w:lang w:val="es-AR"/>
        </w:rPr>
        <w:t xml:space="preserve">%, </w:t>
      </w:r>
      <w:r w:rsidR="003B64E0" w:rsidRPr="003B64E0">
        <w:rPr>
          <w:rFonts w:ascii="Arial" w:hAnsi="Arial" w:cs="Arial"/>
          <w:w w:val="0"/>
          <w:lang w:val="es-AR"/>
        </w:rPr>
        <w:t xml:space="preserve">debido a un incremento aproximado del </w:t>
      </w:r>
      <w:r w:rsidR="00FA56BB">
        <w:rPr>
          <w:rFonts w:ascii="Arial" w:hAnsi="Arial" w:cs="Arial"/>
          <w:w w:val="0"/>
          <w:lang w:val="es-AR"/>
        </w:rPr>
        <w:t>91,6</w:t>
      </w:r>
      <w:r w:rsidR="003B64E0" w:rsidRPr="003B64E0">
        <w:rPr>
          <w:rFonts w:ascii="Arial" w:hAnsi="Arial" w:cs="Arial"/>
          <w:w w:val="0"/>
          <w:lang w:val="es-AR"/>
        </w:rPr>
        <w:t>% en el precio promedio obtenido p</w:t>
      </w:r>
      <w:r w:rsidR="00FA56BB">
        <w:rPr>
          <w:rFonts w:ascii="Arial" w:hAnsi="Arial" w:cs="Arial"/>
          <w:w w:val="0"/>
          <w:lang w:val="es-AR"/>
        </w:rPr>
        <w:t xml:space="preserve">ara </w:t>
      </w:r>
      <w:r w:rsidR="001579C7">
        <w:rPr>
          <w:rFonts w:ascii="Arial" w:hAnsi="Arial" w:cs="Arial"/>
          <w:w w:val="0"/>
          <w:lang w:val="es-AR"/>
        </w:rPr>
        <w:t xml:space="preserve">el mix de gasoil, compensado parcialmente por </w:t>
      </w:r>
      <w:r w:rsidR="00FA56BB">
        <w:rPr>
          <w:rFonts w:ascii="Arial" w:hAnsi="Arial" w:cs="Arial"/>
          <w:w w:val="0"/>
          <w:lang w:val="es-AR"/>
        </w:rPr>
        <w:t>menores</w:t>
      </w:r>
      <w:r w:rsidR="003B64E0" w:rsidRPr="003B64E0">
        <w:rPr>
          <w:rFonts w:ascii="Arial" w:hAnsi="Arial" w:cs="Arial"/>
          <w:w w:val="0"/>
          <w:lang w:val="es-AR"/>
        </w:rPr>
        <w:t xml:space="preserve"> volúmenes totales despa</w:t>
      </w:r>
      <w:r w:rsidR="00FA56BB">
        <w:rPr>
          <w:rFonts w:ascii="Arial" w:hAnsi="Arial" w:cs="Arial"/>
          <w:w w:val="0"/>
          <w:lang w:val="es-AR"/>
        </w:rPr>
        <w:t xml:space="preserve">chados de </w:t>
      </w:r>
      <w:r w:rsidR="00FA56BB" w:rsidRPr="00BC5D32">
        <w:rPr>
          <w:rFonts w:ascii="Arial" w:hAnsi="Arial" w:cs="Arial"/>
          <w:w w:val="0"/>
          <w:lang w:val="es-AR"/>
        </w:rPr>
        <w:t>aproximadamente un 2,1</w:t>
      </w:r>
      <w:r w:rsidR="003B64E0" w:rsidRPr="00BC5D32">
        <w:rPr>
          <w:rFonts w:ascii="Arial" w:hAnsi="Arial" w:cs="Arial"/>
          <w:w w:val="0"/>
          <w:lang w:val="es-AR"/>
        </w:rPr>
        <w:t>%</w:t>
      </w:r>
      <w:r w:rsidR="00D11CCD" w:rsidRPr="00BC5D32">
        <w:rPr>
          <w:rFonts w:ascii="Arial" w:hAnsi="Arial" w:cs="Arial"/>
          <w:w w:val="0"/>
          <w:lang w:val="es-AR"/>
        </w:rPr>
        <w:t>,</w:t>
      </w:r>
      <w:r w:rsidR="00BC5D32" w:rsidRPr="00BC5D32">
        <w:rPr>
          <w:rFonts w:ascii="Arial" w:hAnsi="Arial" w:cs="Arial"/>
          <w:w w:val="0"/>
          <w:lang w:val="es-AR"/>
        </w:rPr>
        <w:t xml:space="preserve"> acompañando la baja observada en el mercado para este producto de aproximadamente</w:t>
      </w:r>
      <w:r w:rsidR="00E9334D">
        <w:rPr>
          <w:rFonts w:ascii="Arial" w:hAnsi="Arial" w:cs="Arial"/>
          <w:lang w:val="es-AR"/>
        </w:rPr>
        <w:t xml:space="preserve"> 3,2</w:t>
      </w:r>
      <w:r w:rsidR="00BC5D32" w:rsidRPr="00BC5D32">
        <w:rPr>
          <w:rFonts w:ascii="Arial" w:hAnsi="Arial" w:cs="Arial"/>
          <w:lang w:val="es-AR"/>
        </w:rPr>
        <w:t>%</w:t>
      </w:r>
      <w:r w:rsidR="002F7BCC" w:rsidRPr="00BC5D32">
        <w:rPr>
          <w:rFonts w:ascii="Arial" w:hAnsi="Arial" w:cs="Arial"/>
          <w:w w:val="0"/>
          <w:lang w:val="es-AR"/>
        </w:rPr>
        <w:t>.</w:t>
      </w:r>
      <w:r w:rsidR="00FA56BB" w:rsidRPr="00BC5D32">
        <w:rPr>
          <w:rFonts w:ascii="Arial" w:hAnsi="Arial" w:cs="Arial"/>
          <w:w w:val="0"/>
          <w:lang w:val="es-AR"/>
        </w:rPr>
        <w:t xml:space="preserve"> </w:t>
      </w:r>
      <w:r w:rsidR="00BC5D32" w:rsidRPr="00BC5D32">
        <w:rPr>
          <w:rFonts w:ascii="Arial" w:hAnsi="Arial" w:cs="Arial"/>
          <w:w w:val="0"/>
          <w:lang w:val="es-AR"/>
        </w:rPr>
        <w:t>Adicionalmente</w:t>
      </w:r>
      <w:r w:rsidR="00BC5D32">
        <w:rPr>
          <w:rFonts w:ascii="Arial" w:hAnsi="Arial" w:cs="Arial"/>
          <w:w w:val="0"/>
          <w:lang w:val="es-AR"/>
        </w:rPr>
        <w:t>, s</w:t>
      </w:r>
      <w:r w:rsidR="00FA56BB" w:rsidRPr="00FA56BB">
        <w:rPr>
          <w:rFonts w:ascii="Arial" w:hAnsi="Arial" w:cs="Arial"/>
          <w:w w:val="0"/>
          <w:lang w:val="es-AR"/>
        </w:rPr>
        <w:t>e observó una caída del 5,9</w:t>
      </w:r>
      <w:r w:rsidR="003B64E0" w:rsidRPr="00FA56BB">
        <w:rPr>
          <w:rFonts w:ascii="Arial" w:hAnsi="Arial" w:cs="Arial"/>
          <w:w w:val="0"/>
          <w:lang w:val="es-AR"/>
        </w:rPr>
        <w:t xml:space="preserve">% en los volúmenes vendidos de </w:t>
      </w:r>
      <w:proofErr w:type="spellStart"/>
      <w:r w:rsidR="003B64E0" w:rsidRPr="00FA56BB">
        <w:rPr>
          <w:rFonts w:ascii="Arial" w:hAnsi="Arial" w:cs="Arial"/>
          <w:w w:val="0"/>
          <w:lang w:val="es-AR"/>
        </w:rPr>
        <w:t>Infinia</w:t>
      </w:r>
      <w:proofErr w:type="spellEnd"/>
      <w:r w:rsidR="003B64E0" w:rsidRPr="00FA56BB">
        <w:rPr>
          <w:rFonts w:ascii="Arial" w:hAnsi="Arial" w:cs="Arial"/>
          <w:w w:val="0"/>
          <w:lang w:val="es-AR"/>
        </w:rPr>
        <w:t xml:space="preserve"> Diesel (gas </w:t>
      </w:r>
      <w:proofErr w:type="spellStart"/>
      <w:r w:rsidR="003B64E0" w:rsidRPr="00FA56BB">
        <w:rPr>
          <w:rFonts w:ascii="Arial" w:hAnsi="Arial" w:cs="Arial"/>
          <w:w w:val="0"/>
          <w:lang w:val="es-AR"/>
        </w:rPr>
        <w:t>oil</w:t>
      </w:r>
      <w:proofErr w:type="spellEnd"/>
      <w:r w:rsidR="003B64E0" w:rsidRPr="00FA56BB">
        <w:rPr>
          <w:rFonts w:ascii="Arial" w:hAnsi="Arial" w:cs="Arial"/>
          <w:w w:val="0"/>
          <w:lang w:val="es-AR"/>
        </w:rPr>
        <w:t xml:space="preserve"> premium);</w:t>
      </w:r>
    </w:p>
    <w:p w14:paraId="2F5D1A44" w14:textId="5C71A465" w:rsidR="00D95051" w:rsidRPr="00BC5D32" w:rsidRDefault="00D95051" w:rsidP="00485C1E">
      <w:pPr>
        <w:numPr>
          <w:ilvl w:val="0"/>
          <w:numId w:val="5"/>
        </w:numPr>
        <w:spacing w:after="120" w:line="288" w:lineRule="auto"/>
        <w:ind w:left="993" w:hanging="283"/>
        <w:jc w:val="both"/>
        <w:rPr>
          <w:rFonts w:ascii="Arial" w:hAnsi="Arial" w:cs="Arial"/>
          <w:w w:val="0"/>
          <w:lang w:val="es-AR"/>
        </w:rPr>
      </w:pPr>
      <w:bookmarkStart w:id="78" w:name="_Hlk2176384"/>
      <w:bookmarkEnd w:id="77"/>
      <w:r w:rsidRPr="00BC5D32">
        <w:rPr>
          <w:rFonts w:ascii="Arial" w:hAnsi="Arial" w:cs="Arial"/>
          <w:w w:val="0"/>
          <w:lang w:val="es-AR"/>
        </w:rPr>
        <w:lastRenderedPageBreak/>
        <w:t xml:space="preserve">Las ventas de naftas del </w:t>
      </w:r>
      <w:r w:rsidR="001E784C" w:rsidRPr="00BC5D32">
        <w:rPr>
          <w:rFonts w:ascii="Arial" w:hAnsi="Arial" w:cs="Arial"/>
          <w:w w:val="0"/>
          <w:lang w:val="es-AR"/>
        </w:rPr>
        <w:t xml:space="preserve">segundo </w:t>
      </w:r>
      <w:r w:rsidR="00A4327E" w:rsidRPr="00BC5D32">
        <w:rPr>
          <w:rFonts w:ascii="Arial" w:hAnsi="Arial" w:cs="Arial"/>
          <w:w w:val="0"/>
          <w:lang w:val="es-AR"/>
        </w:rPr>
        <w:t>trimestre</w:t>
      </w:r>
      <w:r w:rsidR="00C67440" w:rsidRPr="00BC5D32">
        <w:rPr>
          <w:rFonts w:ascii="Arial" w:hAnsi="Arial" w:cs="Arial"/>
          <w:w w:val="0"/>
          <w:lang w:val="es-AR"/>
        </w:rPr>
        <w:t xml:space="preserve"> 2019</w:t>
      </w:r>
      <w:r w:rsidRPr="00BC5D32">
        <w:rPr>
          <w:rFonts w:ascii="Arial" w:hAnsi="Arial" w:cs="Arial"/>
          <w:w w:val="0"/>
          <w:lang w:val="es-AR"/>
        </w:rPr>
        <w:t xml:space="preserve"> </w:t>
      </w:r>
      <w:r w:rsidR="00FA56BB" w:rsidRPr="00BC5D32">
        <w:rPr>
          <w:rFonts w:ascii="Arial" w:hAnsi="Arial" w:cs="Arial"/>
          <w:w w:val="0"/>
          <w:lang w:val="es-AR"/>
        </w:rPr>
        <w:t xml:space="preserve">ascendieron a los </w:t>
      </w:r>
      <w:proofErr w:type="spellStart"/>
      <w:r w:rsidR="00FA56BB" w:rsidRPr="00BC5D32">
        <w:rPr>
          <w:rFonts w:ascii="Arial" w:hAnsi="Arial" w:cs="Arial"/>
          <w:w w:val="0"/>
          <w:lang w:val="es-AR"/>
        </w:rPr>
        <w:t>Ps</w:t>
      </w:r>
      <w:proofErr w:type="spellEnd"/>
      <w:r w:rsidR="00FA56BB" w:rsidRPr="00BC5D32">
        <w:rPr>
          <w:rFonts w:ascii="Arial" w:hAnsi="Arial" w:cs="Arial"/>
          <w:w w:val="0"/>
          <w:lang w:val="es-AR"/>
        </w:rPr>
        <w:t xml:space="preserve"> 32,4</w:t>
      </w:r>
      <w:r w:rsidR="000C61E2" w:rsidRPr="00BC5D32">
        <w:rPr>
          <w:rFonts w:ascii="Arial" w:hAnsi="Arial" w:cs="Arial"/>
          <w:w w:val="0"/>
          <w:lang w:val="es-AR"/>
        </w:rPr>
        <w:t xml:space="preserve"> </w:t>
      </w:r>
      <w:r w:rsidRPr="00BC5D32">
        <w:rPr>
          <w:rFonts w:ascii="Arial" w:hAnsi="Arial" w:cs="Arial"/>
          <w:w w:val="0"/>
          <w:lang w:val="es-AR"/>
        </w:rPr>
        <w:t xml:space="preserve">MM, siendo superiores a las del </w:t>
      </w:r>
      <w:r w:rsidR="006B6A29" w:rsidRPr="00BC5D32">
        <w:rPr>
          <w:rFonts w:ascii="Arial" w:hAnsi="Arial" w:cs="Arial"/>
          <w:w w:val="0"/>
          <w:lang w:val="es-AR"/>
        </w:rPr>
        <w:t xml:space="preserve">segundo </w:t>
      </w:r>
      <w:r w:rsidR="00A4327E" w:rsidRPr="00BC5D32">
        <w:rPr>
          <w:rFonts w:ascii="Arial" w:hAnsi="Arial" w:cs="Arial"/>
          <w:w w:val="0"/>
          <w:lang w:val="es-AR"/>
        </w:rPr>
        <w:t>trimestre</w:t>
      </w:r>
      <w:r w:rsidR="00C67440" w:rsidRPr="00BC5D32">
        <w:rPr>
          <w:rFonts w:ascii="Arial" w:hAnsi="Arial" w:cs="Arial"/>
          <w:w w:val="0"/>
          <w:lang w:val="es-AR"/>
        </w:rPr>
        <w:t xml:space="preserve"> 2018</w:t>
      </w:r>
      <w:r w:rsidRPr="00BC5D32">
        <w:rPr>
          <w:rFonts w:ascii="Arial" w:hAnsi="Arial" w:cs="Arial"/>
          <w:w w:val="0"/>
          <w:lang w:val="es-AR"/>
        </w:rPr>
        <w:t xml:space="preserve"> en </w:t>
      </w:r>
      <w:proofErr w:type="spellStart"/>
      <w:r w:rsidRPr="00BC5D32">
        <w:rPr>
          <w:rFonts w:ascii="Arial" w:hAnsi="Arial" w:cs="Arial"/>
          <w:w w:val="0"/>
          <w:lang w:val="es-AR"/>
        </w:rPr>
        <w:t>Ps</w:t>
      </w:r>
      <w:proofErr w:type="spellEnd"/>
      <w:r w:rsidRPr="00BC5D32">
        <w:rPr>
          <w:rFonts w:ascii="Arial" w:hAnsi="Arial" w:cs="Arial"/>
          <w:w w:val="0"/>
          <w:lang w:val="es-AR"/>
        </w:rPr>
        <w:t xml:space="preserve"> </w:t>
      </w:r>
      <w:r w:rsidR="00FA56BB" w:rsidRPr="00BC5D32">
        <w:rPr>
          <w:rFonts w:ascii="Arial" w:hAnsi="Arial" w:cs="Arial"/>
          <w:w w:val="0"/>
          <w:lang w:val="es-AR"/>
        </w:rPr>
        <w:t>12,8</w:t>
      </w:r>
      <w:r w:rsidRPr="00BC5D32">
        <w:rPr>
          <w:rFonts w:ascii="Arial" w:hAnsi="Arial" w:cs="Arial"/>
          <w:w w:val="0"/>
          <w:lang w:val="es-AR"/>
        </w:rPr>
        <w:t xml:space="preserve"> MM, o </w:t>
      </w:r>
      <w:r w:rsidR="00FA56BB" w:rsidRPr="00BC5D32">
        <w:rPr>
          <w:rFonts w:ascii="Arial" w:hAnsi="Arial" w:cs="Arial"/>
          <w:w w:val="0"/>
          <w:lang w:val="es-AR"/>
        </w:rPr>
        <w:t>65,0</w:t>
      </w:r>
      <w:r w:rsidRPr="00BC5D32">
        <w:rPr>
          <w:rFonts w:ascii="Arial" w:hAnsi="Arial" w:cs="Arial"/>
          <w:w w:val="0"/>
          <w:lang w:val="es-AR"/>
        </w:rPr>
        <w:t xml:space="preserve">%, </w:t>
      </w:r>
      <w:r w:rsidR="00AB0C1B" w:rsidRPr="00BC5D32">
        <w:rPr>
          <w:rFonts w:ascii="Arial" w:hAnsi="Arial" w:cs="Arial"/>
          <w:w w:val="0"/>
          <w:lang w:val="es-AR"/>
        </w:rPr>
        <w:t>debido a u</w:t>
      </w:r>
      <w:r w:rsidR="00FA56BB" w:rsidRPr="00BC5D32">
        <w:rPr>
          <w:rFonts w:ascii="Arial" w:hAnsi="Arial" w:cs="Arial"/>
          <w:w w:val="0"/>
          <w:lang w:val="es-AR"/>
        </w:rPr>
        <w:t>n incremento aproximado del 68,6</w:t>
      </w:r>
      <w:r w:rsidR="00AB0C1B" w:rsidRPr="00BC5D32">
        <w:rPr>
          <w:rFonts w:ascii="Arial" w:hAnsi="Arial" w:cs="Arial"/>
          <w:w w:val="0"/>
          <w:lang w:val="es-AR"/>
        </w:rPr>
        <w:t>% en el precio promedio para el mix de naftas, compensado parcialmente por menores volúmenes de</w:t>
      </w:r>
      <w:r w:rsidR="00FA56BB" w:rsidRPr="00BC5D32">
        <w:rPr>
          <w:rFonts w:ascii="Arial" w:hAnsi="Arial" w:cs="Arial"/>
          <w:w w:val="0"/>
          <w:lang w:val="es-AR"/>
        </w:rPr>
        <w:t>spachados de aproximadamente 2,1</w:t>
      </w:r>
      <w:r w:rsidR="00AB0C1B" w:rsidRPr="00BC5D32">
        <w:rPr>
          <w:rFonts w:ascii="Arial" w:hAnsi="Arial" w:cs="Arial"/>
          <w:w w:val="0"/>
          <w:lang w:val="es-AR"/>
        </w:rPr>
        <w:t>%</w:t>
      </w:r>
      <w:r w:rsidR="00D11CCD" w:rsidRPr="00BC5D32">
        <w:rPr>
          <w:rFonts w:ascii="Arial" w:hAnsi="Arial" w:cs="Arial"/>
          <w:w w:val="0"/>
          <w:lang w:val="es-AR"/>
        </w:rPr>
        <w:t xml:space="preserve">, </w:t>
      </w:r>
      <w:r w:rsidR="00040058">
        <w:rPr>
          <w:rFonts w:ascii="Arial" w:hAnsi="Arial" w:cs="Arial"/>
          <w:w w:val="0"/>
          <w:lang w:val="es-AR"/>
        </w:rPr>
        <w:t>acompañando</w:t>
      </w:r>
      <w:r w:rsidR="00D11CCD" w:rsidRPr="00BC5D32">
        <w:rPr>
          <w:rFonts w:ascii="Arial" w:hAnsi="Arial" w:cs="Arial"/>
          <w:w w:val="0"/>
          <w:lang w:val="es-AR"/>
        </w:rPr>
        <w:t xml:space="preserve"> la baja observada en el mercado para este producto de aproximadamente</w:t>
      </w:r>
      <w:r w:rsidR="00BC5D32" w:rsidRPr="00BC5D32">
        <w:rPr>
          <w:rFonts w:ascii="Arial" w:hAnsi="Arial" w:cs="Arial"/>
          <w:w w:val="0"/>
          <w:lang w:val="es-AR"/>
        </w:rPr>
        <w:t xml:space="preserve"> 5,3%</w:t>
      </w:r>
      <w:r w:rsidR="00FA56BB" w:rsidRPr="00BC5D32">
        <w:rPr>
          <w:rFonts w:ascii="Arial" w:hAnsi="Arial" w:cs="Arial"/>
          <w:w w:val="0"/>
          <w:lang w:val="es-AR"/>
        </w:rPr>
        <w:t xml:space="preserve">. </w:t>
      </w:r>
      <w:r w:rsidR="00C230F8">
        <w:rPr>
          <w:rFonts w:ascii="Arial" w:hAnsi="Arial" w:cs="Arial"/>
          <w:w w:val="0"/>
          <w:lang w:val="es-AR"/>
        </w:rPr>
        <w:t>Adicionalmente</w:t>
      </w:r>
      <w:r w:rsidR="00AB0C1B" w:rsidRPr="00BC5D32">
        <w:rPr>
          <w:rFonts w:ascii="Arial" w:hAnsi="Arial" w:cs="Arial"/>
          <w:w w:val="0"/>
          <w:lang w:val="es-AR"/>
        </w:rPr>
        <w:t xml:space="preserve">, se </w:t>
      </w:r>
      <w:r w:rsidR="00C230F8" w:rsidRPr="00BC5D32">
        <w:rPr>
          <w:rFonts w:ascii="Arial" w:hAnsi="Arial" w:cs="Arial"/>
          <w:w w:val="0"/>
          <w:lang w:val="es-AR"/>
        </w:rPr>
        <w:t>observ</w:t>
      </w:r>
      <w:r w:rsidR="00C230F8">
        <w:rPr>
          <w:rFonts w:ascii="Arial" w:hAnsi="Arial" w:cs="Arial"/>
          <w:w w:val="0"/>
          <w:lang w:val="es-AR"/>
        </w:rPr>
        <w:t>ó</w:t>
      </w:r>
      <w:r w:rsidR="00C230F8" w:rsidRPr="00BC5D32">
        <w:rPr>
          <w:rFonts w:ascii="Arial" w:hAnsi="Arial" w:cs="Arial"/>
          <w:w w:val="0"/>
          <w:lang w:val="es-AR"/>
        </w:rPr>
        <w:t xml:space="preserve"> </w:t>
      </w:r>
      <w:r w:rsidR="00FA56BB" w:rsidRPr="00BC5D32">
        <w:rPr>
          <w:rFonts w:ascii="Arial" w:hAnsi="Arial" w:cs="Arial"/>
          <w:w w:val="0"/>
          <w:lang w:val="es-AR"/>
        </w:rPr>
        <w:t>una disminución del 24,1</w:t>
      </w:r>
      <w:r w:rsidR="00AB0C1B" w:rsidRPr="00BC5D32">
        <w:rPr>
          <w:rFonts w:ascii="Arial" w:hAnsi="Arial" w:cs="Arial"/>
          <w:w w:val="0"/>
          <w:lang w:val="es-AR"/>
        </w:rPr>
        <w:t xml:space="preserve">% en los volúmenes vendidos de Nafta </w:t>
      </w:r>
      <w:proofErr w:type="spellStart"/>
      <w:r w:rsidR="00AB0C1B" w:rsidRPr="00BC5D32">
        <w:rPr>
          <w:rFonts w:ascii="Arial" w:hAnsi="Arial" w:cs="Arial"/>
          <w:w w:val="0"/>
          <w:lang w:val="es-AR"/>
        </w:rPr>
        <w:t>Infinia</w:t>
      </w:r>
      <w:proofErr w:type="spellEnd"/>
      <w:r w:rsidR="00AB0C1B" w:rsidRPr="00BC5D32">
        <w:rPr>
          <w:rFonts w:ascii="Arial" w:hAnsi="Arial" w:cs="Arial"/>
          <w:w w:val="0"/>
          <w:lang w:val="es-AR"/>
        </w:rPr>
        <w:t xml:space="preserve"> (nafta premium);</w:t>
      </w:r>
    </w:p>
    <w:bookmarkEnd w:id="78"/>
    <w:p w14:paraId="1B0EE806" w14:textId="0DF55405" w:rsidR="005B5CA1" w:rsidRPr="00BC5D32" w:rsidRDefault="00D95051" w:rsidP="00BC5D32">
      <w:pPr>
        <w:numPr>
          <w:ilvl w:val="0"/>
          <w:numId w:val="5"/>
        </w:numPr>
        <w:spacing w:after="120" w:line="288" w:lineRule="auto"/>
        <w:ind w:left="993" w:hanging="283"/>
        <w:jc w:val="both"/>
        <w:rPr>
          <w:rFonts w:ascii="Arial" w:hAnsi="Arial" w:cs="Arial"/>
          <w:w w:val="0"/>
          <w:lang w:val="es-AR"/>
        </w:rPr>
      </w:pPr>
      <w:r w:rsidRPr="000F153B">
        <w:rPr>
          <w:rFonts w:ascii="Arial" w:hAnsi="Arial" w:cs="Arial"/>
          <w:w w:val="0"/>
          <w:lang w:val="es-AR"/>
        </w:rPr>
        <w:t>Las restantes ventas en el mercado interno</w:t>
      </w:r>
      <w:r w:rsidR="00AF2A14" w:rsidRPr="000F153B">
        <w:rPr>
          <w:rFonts w:ascii="Arial" w:hAnsi="Arial" w:cs="Arial"/>
          <w:w w:val="0"/>
          <w:lang w:val="es-AR"/>
        </w:rPr>
        <w:t xml:space="preserve"> </w:t>
      </w:r>
      <w:r w:rsidR="00031DB9" w:rsidRPr="000F153B">
        <w:rPr>
          <w:rFonts w:ascii="Arial" w:hAnsi="Arial" w:cs="Arial"/>
          <w:w w:val="0"/>
          <w:lang w:val="es-AR"/>
        </w:rPr>
        <w:t xml:space="preserve">del </w:t>
      </w:r>
      <w:r w:rsidR="006B6A29" w:rsidRPr="000F153B">
        <w:rPr>
          <w:rFonts w:ascii="Arial" w:hAnsi="Arial" w:cs="Arial"/>
          <w:w w:val="0"/>
          <w:lang w:val="es-AR"/>
        </w:rPr>
        <w:t>segundo</w:t>
      </w:r>
      <w:r w:rsidR="00C67440" w:rsidRPr="000F153B">
        <w:rPr>
          <w:rFonts w:ascii="Arial" w:hAnsi="Arial" w:cs="Arial"/>
          <w:w w:val="0"/>
          <w:lang w:val="es-AR"/>
        </w:rPr>
        <w:t xml:space="preserve"> </w:t>
      </w:r>
      <w:r w:rsidR="00031DB9" w:rsidRPr="000F153B">
        <w:rPr>
          <w:rFonts w:ascii="Arial" w:hAnsi="Arial" w:cs="Arial"/>
          <w:w w:val="0"/>
          <w:lang w:val="es-AR"/>
        </w:rPr>
        <w:t>trimestre</w:t>
      </w:r>
      <w:r w:rsidR="00C67440" w:rsidRPr="000F153B">
        <w:rPr>
          <w:rFonts w:ascii="Arial" w:hAnsi="Arial" w:cs="Arial"/>
          <w:w w:val="0"/>
          <w:lang w:val="es-AR"/>
        </w:rPr>
        <w:t xml:space="preserve"> </w:t>
      </w:r>
      <w:r w:rsidR="00CD798A" w:rsidRPr="000F153B">
        <w:rPr>
          <w:rFonts w:ascii="Arial" w:hAnsi="Arial" w:cs="Arial"/>
          <w:w w:val="0"/>
          <w:lang w:val="es-AR"/>
        </w:rPr>
        <w:t>2019 totalizaron</w:t>
      </w:r>
      <w:r w:rsidR="0090405D" w:rsidRPr="000F153B">
        <w:rPr>
          <w:rFonts w:ascii="Arial" w:hAnsi="Arial" w:cs="Arial"/>
          <w:w w:val="0"/>
          <w:lang w:val="es-AR"/>
        </w:rPr>
        <w:t xml:space="preserve"> </w:t>
      </w:r>
      <w:proofErr w:type="spellStart"/>
      <w:r w:rsidR="0090405D" w:rsidRPr="000F153B">
        <w:rPr>
          <w:rFonts w:ascii="Arial" w:hAnsi="Arial" w:cs="Arial"/>
          <w:w w:val="0"/>
          <w:lang w:val="es-AR"/>
        </w:rPr>
        <w:t>Ps</w:t>
      </w:r>
      <w:proofErr w:type="spellEnd"/>
      <w:r w:rsidR="0090405D" w:rsidRPr="000F153B">
        <w:rPr>
          <w:rFonts w:ascii="Arial" w:hAnsi="Arial" w:cs="Arial"/>
          <w:w w:val="0"/>
          <w:lang w:val="es-AR"/>
        </w:rPr>
        <w:t xml:space="preserve"> </w:t>
      </w:r>
      <w:r w:rsidR="00BC5D32">
        <w:rPr>
          <w:rFonts w:ascii="Arial" w:hAnsi="Arial" w:cs="Arial"/>
          <w:w w:val="0"/>
          <w:lang w:val="es-AR"/>
        </w:rPr>
        <w:t>18,5</w:t>
      </w:r>
      <w:r w:rsidR="00192CDF" w:rsidRPr="000F153B">
        <w:rPr>
          <w:rFonts w:ascii="Arial" w:hAnsi="Arial" w:cs="Arial"/>
          <w:w w:val="0"/>
          <w:lang w:val="es-AR"/>
        </w:rPr>
        <w:t xml:space="preserve"> </w:t>
      </w:r>
      <w:r w:rsidRPr="000F153B">
        <w:rPr>
          <w:rFonts w:ascii="Arial" w:hAnsi="Arial" w:cs="Arial"/>
          <w:w w:val="0"/>
          <w:lang w:val="es-AR"/>
        </w:rPr>
        <w:t xml:space="preserve">MM, reportando un incremento de </w:t>
      </w:r>
      <w:proofErr w:type="spellStart"/>
      <w:r w:rsidRPr="000F153B">
        <w:rPr>
          <w:rFonts w:ascii="Arial" w:hAnsi="Arial" w:cs="Arial"/>
          <w:w w:val="0"/>
          <w:lang w:val="es-AR"/>
        </w:rPr>
        <w:t>Ps</w:t>
      </w:r>
      <w:proofErr w:type="spellEnd"/>
      <w:r w:rsidRPr="000F153B">
        <w:rPr>
          <w:rFonts w:ascii="Arial" w:hAnsi="Arial" w:cs="Arial"/>
          <w:w w:val="0"/>
          <w:lang w:val="es-AR"/>
        </w:rPr>
        <w:t xml:space="preserve"> </w:t>
      </w:r>
      <w:r w:rsidR="00BC5D32">
        <w:rPr>
          <w:rFonts w:ascii="Arial" w:hAnsi="Arial" w:cs="Arial"/>
          <w:w w:val="0"/>
          <w:lang w:val="es-AR"/>
        </w:rPr>
        <w:t>6,5</w:t>
      </w:r>
      <w:r w:rsidR="00192CDF" w:rsidRPr="000F153B">
        <w:rPr>
          <w:rFonts w:ascii="Arial" w:hAnsi="Arial" w:cs="Arial"/>
          <w:w w:val="0"/>
          <w:lang w:val="es-AR"/>
        </w:rPr>
        <w:t xml:space="preserve"> </w:t>
      </w:r>
      <w:r w:rsidRPr="000F153B">
        <w:rPr>
          <w:rFonts w:ascii="Arial" w:hAnsi="Arial" w:cs="Arial"/>
          <w:w w:val="0"/>
          <w:lang w:val="es-AR"/>
        </w:rPr>
        <w:t xml:space="preserve">MM o </w:t>
      </w:r>
      <w:r w:rsidR="00BC5D32">
        <w:rPr>
          <w:rFonts w:ascii="Arial" w:hAnsi="Arial" w:cs="Arial"/>
          <w:w w:val="0"/>
          <w:lang w:val="es-AR"/>
        </w:rPr>
        <w:t>54,6</w:t>
      </w:r>
      <w:r w:rsidRPr="000F153B">
        <w:rPr>
          <w:rFonts w:ascii="Arial" w:hAnsi="Arial" w:cs="Arial"/>
          <w:w w:val="0"/>
          <w:lang w:val="es-AR"/>
        </w:rPr>
        <w:t xml:space="preserve">% respecto a las </w:t>
      </w:r>
      <w:r w:rsidR="00AF2A14" w:rsidRPr="000F153B">
        <w:rPr>
          <w:rFonts w:ascii="Arial" w:hAnsi="Arial" w:cs="Arial"/>
          <w:w w:val="0"/>
          <w:lang w:val="es-AR"/>
        </w:rPr>
        <w:t xml:space="preserve">del </w:t>
      </w:r>
      <w:r w:rsidR="006B6A29" w:rsidRPr="000F153B">
        <w:rPr>
          <w:rFonts w:ascii="Arial" w:hAnsi="Arial" w:cs="Arial"/>
          <w:w w:val="0"/>
          <w:lang w:val="es-AR"/>
        </w:rPr>
        <w:t>segundo</w:t>
      </w:r>
      <w:r w:rsidR="00C67440" w:rsidRPr="000F153B">
        <w:rPr>
          <w:rFonts w:ascii="Arial" w:hAnsi="Arial" w:cs="Arial"/>
          <w:w w:val="0"/>
          <w:lang w:val="es-AR"/>
        </w:rPr>
        <w:t xml:space="preserve"> </w:t>
      </w:r>
      <w:r w:rsidR="00AF2A14" w:rsidRPr="000F153B">
        <w:rPr>
          <w:rFonts w:ascii="Arial" w:hAnsi="Arial" w:cs="Arial"/>
          <w:w w:val="0"/>
          <w:lang w:val="es-AR"/>
        </w:rPr>
        <w:t xml:space="preserve">trimestre </w:t>
      </w:r>
      <w:r w:rsidR="00C67440" w:rsidRPr="000F153B">
        <w:rPr>
          <w:rFonts w:ascii="Arial" w:hAnsi="Arial" w:cs="Arial"/>
          <w:w w:val="0"/>
          <w:lang w:val="es-AR"/>
        </w:rPr>
        <w:t>2018</w:t>
      </w:r>
      <w:r w:rsidRPr="000F153B">
        <w:rPr>
          <w:rFonts w:ascii="Arial" w:hAnsi="Arial" w:cs="Arial"/>
          <w:w w:val="0"/>
          <w:lang w:val="es-AR"/>
        </w:rPr>
        <w:t xml:space="preserve">. </w:t>
      </w:r>
      <w:r w:rsidR="00FA56BB" w:rsidRPr="000F153B">
        <w:rPr>
          <w:rFonts w:ascii="Arial" w:hAnsi="Arial" w:cs="Arial"/>
          <w:w w:val="0"/>
          <w:lang w:val="es-AR"/>
        </w:rPr>
        <w:t>Se destacan las mayores ventas de fertilizante</w:t>
      </w:r>
      <w:r w:rsidR="00562F6A" w:rsidRPr="000F153B">
        <w:rPr>
          <w:rFonts w:ascii="Arial" w:hAnsi="Arial" w:cs="Arial"/>
          <w:w w:val="0"/>
          <w:lang w:val="es-AR"/>
        </w:rPr>
        <w:t>s</w:t>
      </w:r>
      <w:r w:rsidR="00FA56BB" w:rsidRPr="000F153B">
        <w:rPr>
          <w:rFonts w:ascii="Arial" w:hAnsi="Arial" w:cs="Arial"/>
          <w:w w:val="0"/>
          <w:lang w:val="es-AR"/>
        </w:rPr>
        <w:t xml:space="preserve"> por 179,6%, las mayores v</w:t>
      </w:r>
      <w:r w:rsidR="00731CB9">
        <w:rPr>
          <w:rFonts w:ascii="Arial" w:hAnsi="Arial" w:cs="Arial"/>
          <w:w w:val="0"/>
          <w:lang w:val="es-AR"/>
        </w:rPr>
        <w:t xml:space="preserve">entas de jet fuel en un 123,5%, </w:t>
      </w:r>
      <w:r w:rsidR="00FA56BB" w:rsidRPr="000F153B">
        <w:rPr>
          <w:rFonts w:ascii="Arial" w:hAnsi="Arial" w:cs="Arial"/>
          <w:w w:val="0"/>
          <w:lang w:val="es-AR"/>
        </w:rPr>
        <w:t>las mayores ventas de petroquímicos por 60,3%, las mayores ventas de lubricantes por 50,3%</w:t>
      </w:r>
      <w:r w:rsidR="000F153B">
        <w:rPr>
          <w:rFonts w:ascii="Arial" w:hAnsi="Arial" w:cs="Arial"/>
          <w:w w:val="0"/>
          <w:lang w:val="es-AR"/>
        </w:rPr>
        <w:t xml:space="preserve"> y GLP por 14,6</w:t>
      </w:r>
      <w:r w:rsidR="002A5D9B" w:rsidRPr="000F153B">
        <w:rPr>
          <w:rFonts w:ascii="Arial" w:hAnsi="Arial" w:cs="Arial"/>
          <w:w w:val="0"/>
          <w:lang w:val="es-AR"/>
        </w:rPr>
        <w:t xml:space="preserve">%, </w:t>
      </w:r>
      <w:r w:rsidR="004B6285" w:rsidRPr="00BC5D32">
        <w:rPr>
          <w:rFonts w:ascii="Arial" w:hAnsi="Arial" w:cs="Arial"/>
          <w:w w:val="0"/>
          <w:lang w:val="es-AR"/>
        </w:rPr>
        <w:t>en todos estos casos principalmente debido a los mayores precios de estos producto</w:t>
      </w:r>
      <w:r w:rsidR="00BC5D32">
        <w:rPr>
          <w:rFonts w:ascii="Arial" w:hAnsi="Arial" w:cs="Arial"/>
          <w:w w:val="0"/>
          <w:lang w:val="es-AR"/>
        </w:rPr>
        <w:t>s</w:t>
      </w:r>
      <w:r w:rsidR="009F64B1">
        <w:rPr>
          <w:rFonts w:ascii="Arial" w:hAnsi="Arial" w:cs="Arial"/>
          <w:w w:val="0"/>
          <w:lang w:val="es-AR"/>
        </w:rPr>
        <w:t xml:space="preserve"> medidos en pesos</w:t>
      </w:r>
      <w:r w:rsidR="00BC5D32">
        <w:rPr>
          <w:rFonts w:ascii="Arial" w:hAnsi="Arial" w:cs="Arial"/>
          <w:w w:val="0"/>
          <w:lang w:val="es-AR"/>
        </w:rPr>
        <w:t>.</w:t>
      </w:r>
      <w:r w:rsidR="00BC5D32" w:rsidRPr="00BC5D32">
        <w:rPr>
          <w:rFonts w:ascii="Arial" w:hAnsi="Arial" w:cs="Arial"/>
          <w:w w:val="0"/>
          <w:lang w:val="es-AR"/>
        </w:rPr>
        <w:t xml:space="preserve"> Este incremento se vio parcialmente compensado por una disminución en las ventas de carbón por un 14,0%;</w:t>
      </w:r>
    </w:p>
    <w:p w14:paraId="1CB86EC9" w14:textId="31F4503F" w:rsidR="005F5CB8" w:rsidRPr="00F64F46" w:rsidRDefault="00D95051" w:rsidP="00F64F46">
      <w:pPr>
        <w:numPr>
          <w:ilvl w:val="0"/>
          <w:numId w:val="5"/>
        </w:numPr>
        <w:spacing w:after="120" w:line="288" w:lineRule="auto"/>
        <w:ind w:left="993" w:hanging="283"/>
        <w:jc w:val="both"/>
        <w:rPr>
          <w:rFonts w:ascii="Arial" w:hAnsi="Arial" w:cs="Arial"/>
          <w:w w:val="0"/>
          <w:lang w:val="es-AR"/>
        </w:rPr>
      </w:pPr>
      <w:r w:rsidRPr="005C5983">
        <w:rPr>
          <w:rFonts w:ascii="Arial" w:hAnsi="Arial" w:cs="Arial"/>
          <w:w w:val="0"/>
          <w:lang w:val="es-AR"/>
        </w:rPr>
        <w:t>Por su parte</w:t>
      </w:r>
      <w:r>
        <w:rPr>
          <w:rFonts w:ascii="Arial" w:hAnsi="Arial" w:cs="Arial"/>
          <w:w w:val="0"/>
          <w:lang w:val="es-AR"/>
        </w:rPr>
        <w:t>,</w:t>
      </w:r>
      <w:r w:rsidRPr="005C5983">
        <w:rPr>
          <w:rFonts w:ascii="Arial" w:hAnsi="Arial" w:cs="Arial"/>
          <w:w w:val="0"/>
          <w:lang w:val="es-AR"/>
        </w:rPr>
        <w:t xml:space="preserve"> </w:t>
      </w:r>
      <w:r w:rsidR="00D87012">
        <w:rPr>
          <w:rFonts w:ascii="Arial" w:hAnsi="Arial" w:cs="Arial"/>
          <w:w w:val="0"/>
          <w:lang w:val="es-AR"/>
        </w:rPr>
        <w:t>los ingresos obtenidos en mercado externo</w:t>
      </w:r>
      <w:r>
        <w:rPr>
          <w:rFonts w:ascii="Arial" w:hAnsi="Arial" w:cs="Arial"/>
          <w:w w:val="0"/>
          <w:lang w:val="es-AR"/>
        </w:rPr>
        <w:t xml:space="preserve"> </w:t>
      </w:r>
      <w:r w:rsidR="00D87012">
        <w:rPr>
          <w:rFonts w:ascii="Arial" w:hAnsi="Arial" w:cs="Arial"/>
          <w:w w:val="0"/>
          <w:lang w:val="es-AR"/>
        </w:rPr>
        <w:t>durante el</w:t>
      </w:r>
      <w:r>
        <w:rPr>
          <w:rFonts w:ascii="Arial" w:hAnsi="Arial" w:cs="Arial"/>
          <w:w w:val="0"/>
          <w:lang w:val="es-AR"/>
        </w:rPr>
        <w:t xml:space="preserve"> </w:t>
      </w:r>
      <w:r w:rsidR="006B6A29">
        <w:rPr>
          <w:rFonts w:ascii="Arial" w:hAnsi="Arial" w:cs="Arial"/>
          <w:w w:val="0"/>
          <w:lang w:val="es-AR"/>
        </w:rPr>
        <w:t>segundo</w:t>
      </w:r>
      <w:r w:rsidR="005036A0">
        <w:rPr>
          <w:rFonts w:ascii="Arial" w:hAnsi="Arial" w:cs="Arial"/>
          <w:w w:val="0"/>
          <w:lang w:val="es-AR"/>
        </w:rPr>
        <w:t xml:space="preserve"> trimestre</w:t>
      </w:r>
      <w:r w:rsidR="00C67440">
        <w:rPr>
          <w:rFonts w:ascii="Arial" w:hAnsi="Arial" w:cs="Arial"/>
          <w:w w:val="0"/>
          <w:lang w:val="es-AR"/>
        </w:rPr>
        <w:t xml:space="preserve"> 2019</w:t>
      </w:r>
      <w:r w:rsidRPr="005C5983">
        <w:rPr>
          <w:rFonts w:ascii="Arial" w:hAnsi="Arial" w:cs="Arial"/>
          <w:w w:val="0"/>
          <w:lang w:val="es-AR"/>
        </w:rPr>
        <w:t xml:space="preserve"> </w:t>
      </w:r>
      <w:r w:rsidR="00D87012">
        <w:rPr>
          <w:rFonts w:ascii="Arial" w:hAnsi="Arial" w:cs="Arial"/>
          <w:w w:val="0"/>
          <w:lang w:val="es-AR"/>
        </w:rPr>
        <w:t>alcanzaron los</w:t>
      </w:r>
      <w:r w:rsidR="00BC5D32">
        <w:rPr>
          <w:rFonts w:ascii="Arial" w:hAnsi="Arial" w:cs="Arial"/>
          <w:w w:val="0"/>
          <w:lang w:val="es-AR"/>
        </w:rPr>
        <w:t xml:space="preserve"> </w:t>
      </w:r>
      <w:proofErr w:type="spellStart"/>
      <w:r w:rsidR="00BC5D32">
        <w:rPr>
          <w:rFonts w:ascii="Arial" w:hAnsi="Arial" w:cs="Arial"/>
          <w:w w:val="0"/>
          <w:lang w:val="es-AR"/>
        </w:rPr>
        <w:t>Ps</w:t>
      </w:r>
      <w:proofErr w:type="spellEnd"/>
      <w:r w:rsidR="00BC5D32">
        <w:rPr>
          <w:rFonts w:ascii="Arial" w:hAnsi="Arial" w:cs="Arial"/>
          <w:w w:val="0"/>
          <w:lang w:val="es-AR"/>
        </w:rPr>
        <w:t xml:space="preserve"> 20,6</w:t>
      </w:r>
      <w:r w:rsidR="00E02728">
        <w:rPr>
          <w:rFonts w:ascii="Arial" w:hAnsi="Arial" w:cs="Arial"/>
          <w:w w:val="0"/>
          <w:lang w:val="es-AR"/>
        </w:rPr>
        <w:t xml:space="preserve"> </w:t>
      </w:r>
      <w:r>
        <w:rPr>
          <w:rFonts w:ascii="Arial" w:hAnsi="Arial" w:cs="Arial"/>
          <w:w w:val="0"/>
          <w:lang w:val="es-AR"/>
        </w:rPr>
        <w:t xml:space="preserve">MM, </w:t>
      </w:r>
      <w:r w:rsidRPr="005C5983">
        <w:rPr>
          <w:rFonts w:ascii="Arial" w:hAnsi="Arial" w:cs="Arial"/>
          <w:w w:val="0"/>
          <w:lang w:val="es-AR"/>
        </w:rPr>
        <w:t>reporta</w:t>
      </w:r>
      <w:r>
        <w:rPr>
          <w:rFonts w:ascii="Arial" w:hAnsi="Arial" w:cs="Arial"/>
          <w:w w:val="0"/>
          <w:lang w:val="es-AR"/>
        </w:rPr>
        <w:t>n</w:t>
      </w:r>
      <w:r w:rsidRPr="005C5983">
        <w:rPr>
          <w:rFonts w:ascii="Arial" w:hAnsi="Arial" w:cs="Arial"/>
          <w:w w:val="0"/>
          <w:lang w:val="es-AR"/>
        </w:rPr>
        <w:t xml:space="preserve">do un incremento de </w:t>
      </w:r>
      <w:proofErr w:type="spellStart"/>
      <w:r w:rsidRPr="005C5983">
        <w:rPr>
          <w:rFonts w:ascii="Arial" w:hAnsi="Arial" w:cs="Arial"/>
          <w:w w:val="0"/>
          <w:lang w:val="es-AR"/>
        </w:rPr>
        <w:t>Ps</w:t>
      </w:r>
      <w:proofErr w:type="spellEnd"/>
      <w:r w:rsidRPr="005C5983">
        <w:rPr>
          <w:rFonts w:ascii="Arial" w:hAnsi="Arial" w:cs="Arial"/>
          <w:w w:val="0"/>
          <w:lang w:val="es-AR"/>
        </w:rPr>
        <w:t xml:space="preserve"> </w:t>
      </w:r>
      <w:r w:rsidR="00BC5D32">
        <w:rPr>
          <w:rFonts w:ascii="Arial" w:hAnsi="Arial" w:cs="Arial"/>
          <w:w w:val="0"/>
          <w:lang w:val="es-AR"/>
        </w:rPr>
        <w:t>10,5</w:t>
      </w:r>
      <w:r w:rsidRPr="003338EF">
        <w:rPr>
          <w:rFonts w:ascii="Arial" w:hAnsi="Arial" w:cs="Arial"/>
          <w:w w:val="0"/>
          <w:lang w:val="es-AR"/>
        </w:rPr>
        <w:t xml:space="preserve"> MM, o </w:t>
      </w:r>
      <w:r w:rsidR="00BC5D32">
        <w:rPr>
          <w:rFonts w:ascii="Arial" w:hAnsi="Arial" w:cs="Arial"/>
          <w:w w:val="0"/>
          <w:lang w:val="es-AR"/>
        </w:rPr>
        <w:t>103,8</w:t>
      </w:r>
      <w:r w:rsidR="00E02728">
        <w:rPr>
          <w:rFonts w:ascii="Arial" w:hAnsi="Arial" w:cs="Arial"/>
          <w:w w:val="0"/>
          <w:lang w:val="es-AR"/>
        </w:rPr>
        <w:t xml:space="preserve">% </w:t>
      </w:r>
      <w:r>
        <w:rPr>
          <w:rFonts w:ascii="Arial" w:hAnsi="Arial" w:cs="Arial"/>
          <w:w w:val="0"/>
          <w:lang w:val="es-AR"/>
        </w:rPr>
        <w:t>fr</w:t>
      </w:r>
      <w:r w:rsidR="00C67440">
        <w:rPr>
          <w:rFonts w:ascii="Arial" w:hAnsi="Arial" w:cs="Arial"/>
          <w:w w:val="0"/>
          <w:lang w:val="es-AR"/>
        </w:rPr>
        <w:t>ente a las exportaciones de 2018</w:t>
      </w:r>
      <w:r w:rsidRPr="003338EF">
        <w:rPr>
          <w:rFonts w:ascii="Arial" w:hAnsi="Arial" w:cs="Arial"/>
          <w:w w:val="0"/>
          <w:lang w:val="es-AR"/>
        </w:rPr>
        <w:t>.</w:t>
      </w:r>
      <w:r>
        <w:rPr>
          <w:rFonts w:ascii="Arial" w:hAnsi="Arial" w:cs="Arial"/>
          <w:w w:val="0"/>
          <w:lang w:val="es-AR"/>
        </w:rPr>
        <w:t xml:space="preserve"> </w:t>
      </w:r>
      <w:r w:rsidR="004A0037" w:rsidRPr="0058416B">
        <w:rPr>
          <w:rFonts w:ascii="Arial" w:hAnsi="Arial" w:cs="Arial"/>
          <w:w w:val="0"/>
          <w:lang w:val="es-AR"/>
        </w:rPr>
        <w:t xml:space="preserve">Se destacan entre ellos, </w:t>
      </w:r>
      <w:r w:rsidR="0082400E">
        <w:rPr>
          <w:rFonts w:ascii="Arial" w:hAnsi="Arial" w:cs="Arial"/>
          <w:w w:val="0"/>
          <w:lang w:val="es-AR"/>
        </w:rPr>
        <w:t xml:space="preserve">las </w:t>
      </w:r>
      <w:r w:rsidR="0082400E" w:rsidRPr="0058416B">
        <w:rPr>
          <w:rFonts w:ascii="Arial" w:hAnsi="Arial" w:cs="Arial"/>
          <w:w w:val="0"/>
          <w:lang w:val="es-AR"/>
        </w:rPr>
        <w:t xml:space="preserve">mayores ventas al exterior de petróleo crudo por </w:t>
      </w:r>
      <w:proofErr w:type="spellStart"/>
      <w:r w:rsidR="0082400E">
        <w:rPr>
          <w:rFonts w:ascii="Arial" w:hAnsi="Arial" w:cs="Arial"/>
          <w:w w:val="0"/>
          <w:lang w:val="es-AR"/>
        </w:rPr>
        <w:t>Ps</w:t>
      </w:r>
      <w:proofErr w:type="spellEnd"/>
      <w:r w:rsidR="0082400E">
        <w:rPr>
          <w:rFonts w:ascii="Arial" w:hAnsi="Arial" w:cs="Arial"/>
          <w:w w:val="0"/>
          <w:lang w:val="es-AR"/>
        </w:rPr>
        <w:t xml:space="preserve"> 3,2 MM</w:t>
      </w:r>
      <w:r w:rsidR="0082400E" w:rsidRPr="0058416B">
        <w:rPr>
          <w:rFonts w:ascii="Arial" w:hAnsi="Arial" w:cs="Arial"/>
          <w:w w:val="0"/>
          <w:lang w:val="es-AR"/>
        </w:rPr>
        <w:t>, o</w:t>
      </w:r>
      <w:r w:rsidR="0082400E">
        <w:rPr>
          <w:rFonts w:ascii="Arial" w:hAnsi="Arial" w:cs="Arial"/>
          <w:w w:val="0"/>
          <w:lang w:val="es-AR"/>
        </w:rPr>
        <w:t xml:space="preserve"> 940,8%, princ</w:t>
      </w:r>
      <w:r w:rsidR="0082400E" w:rsidRPr="0058416B">
        <w:rPr>
          <w:rFonts w:ascii="Arial" w:hAnsi="Arial" w:cs="Arial"/>
          <w:w w:val="0"/>
          <w:lang w:val="es-AR"/>
        </w:rPr>
        <w:t>ipalmente por un mayor volumen comercializado</w:t>
      </w:r>
      <w:r w:rsidR="0082400E">
        <w:rPr>
          <w:rFonts w:ascii="Arial" w:hAnsi="Arial" w:cs="Arial"/>
          <w:w w:val="0"/>
          <w:lang w:val="es-AR"/>
        </w:rPr>
        <w:t xml:space="preserve">. Se registraron también </w:t>
      </w:r>
      <w:r w:rsidR="004A0037" w:rsidRPr="0082400E">
        <w:rPr>
          <w:rFonts w:ascii="Arial" w:hAnsi="Arial" w:cs="Arial"/>
          <w:w w:val="0"/>
          <w:lang w:val="es-AR"/>
        </w:rPr>
        <w:t xml:space="preserve">mayores ventas al exterior de </w:t>
      </w:r>
      <w:r w:rsidR="00D73068" w:rsidRPr="0082400E">
        <w:rPr>
          <w:rFonts w:ascii="Arial" w:hAnsi="Arial" w:cs="Arial"/>
          <w:w w:val="0"/>
          <w:lang w:val="es-AR"/>
        </w:rPr>
        <w:t xml:space="preserve">jet fuel </w:t>
      </w:r>
      <w:r w:rsidR="004A0037" w:rsidRPr="0082400E">
        <w:rPr>
          <w:rFonts w:ascii="Arial" w:hAnsi="Arial" w:cs="Arial"/>
          <w:w w:val="0"/>
          <w:lang w:val="es-AR"/>
        </w:rPr>
        <w:t xml:space="preserve">por </w:t>
      </w:r>
      <w:proofErr w:type="spellStart"/>
      <w:r w:rsidR="005362A3" w:rsidRPr="0082400E">
        <w:rPr>
          <w:rFonts w:ascii="Arial" w:hAnsi="Arial" w:cs="Arial"/>
          <w:w w:val="0"/>
          <w:lang w:val="es-AR"/>
        </w:rPr>
        <w:t>Ps</w:t>
      </w:r>
      <w:proofErr w:type="spellEnd"/>
      <w:r w:rsidR="005362A3" w:rsidRPr="0082400E">
        <w:rPr>
          <w:rFonts w:ascii="Arial" w:hAnsi="Arial" w:cs="Arial"/>
          <w:w w:val="0"/>
          <w:lang w:val="es-AR"/>
        </w:rPr>
        <w:t xml:space="preserve"> 3,2 MM</w:t>
      </w:r>
      <w:r w:rsidR="0082400E" w:rsidRPr="0082400E">
        <w:rPr>
          <w:rFonts w:ascii="Arial" w:hAnsi="Arial" w:cs="Arial"/>
          <w:w w:val="0"/>
          <w:lang w:val="es-AR"/>
        </w:rPr>
        <w:t>, o 111,6</w:t>
      </w:r>
      <w:r w:rsidR="004A0037" w:rsidRPr="0082400E">
        <w:rPr>
          <w:rFonts w:ascii="Arial" w:hAnsi="Arial" w:cs="Arial"/>
          <w:w w:val="0"/>
          <w:lang w:val="es-AR"/>
        </w:rPr>
        <w:t xml:space="preserve">%, debido a un incremento en los precios promedio de </w:t>
      </w:r>
      <w:r w:rsidR="0082400E" w:rsidRPr="0082400E">
        <w:rPr>
          <w:rFonts w:ascii="Arial" w:hAnsi="Arial" w:cs="Arial"/>
          <w:w w:val="0"/>
          <w:lang w:val="es-AR"/>
        </w:rPr>
        <w:t>venta medido en pesos de un 80,4% y en un 17</w:t>
      </w:r>
      <w:r w:rsidR="004A0037" w:rsidRPr="0082400E">
        <w:rPr>
          <w:rFonts w:ascii="Arial" w:hAnsi="Arial" w:cs="Arial"/>
          <w:w w:val="0"/>
          <w:lang w:val="es-AR"/>
        </w:rPr>
        <w:t>,3% en los volúmenes vendidos</w:t>
      </w:r>
      <w:r w:rsidR="00F64F46">
        <w:rPr>
          <w:rFonts w:ascii="Arial" w:hAnsi="Arial" w:cs="Arial"/>
          <w:w w:val="0"/>
          <w:lang w:val="es-AR"/>
        </w:rPr>
        <w:t xml:space="preserve">. Las </w:t>
      </w:r>
      <w:r w:rsidR="00F34F06">
        <w:rPr>
          <w:rFonts w:ascii="Arial" w:hAnsi="Arial" w:cs="Arial"/>
          <w:w w:val="0"/>
          <w:lang w:val="es-AR"/>
        </w:rPr>
        <w:t xml:space="preserve">exportaciones </w:t>
      </w:r>
      <w:r w:rsidR="00F64F46" w:rsidRPr="0082400E">
        <w:rPr>
          <w:rFonts w:ascii="Arial" w:hAnsi="Arial" w:cs="Arial"/>
          <w:w w:val="0"/>
          <w:lang w:val="es-AR"/>
        </w:rPr>
        <w:t xml:space="preserve">de harinas y aceites </w:t>
      </w:r>
      <w:r w:rsidR="00F64F46">
        <w:rPr>
          <w:rFonts w:ascii="Arial" w:hAnsi="Arial" w:cs="Arial"/>
          <w:w w:val="0"/>
          <w:lang w:val="es-AR"/>
        </w:rPr>
        <w:t xml:space="preserve">se incrementaron </w:t>
      </w:r>
      <w:r w:rsidR="00F64F46" w:rsidRPr="0082400E">
        <w:rPr>
          <w:rFonts w:ascii="Arial" w:hAnsi="Arial" w:cs="Arial"/>
          <w:w w:val="0"/>
          <w:lang w:val="es-AR"/>
        </w:rPr>
        <w:t xml:space="preserve">por </w:t>
      </w:r>
      <w:proofErr w:type="spellStart"/>
      <w:r w:rsidR="00F64F46">
        <w:rPr>
          <w:rFonts w:ascii="Arial" w:hAnsi="Arial" w:cs="Arial"/>
          <w:w w:val="0"/>
          <w:lang w:val="es-AR"/>
        </w:rPr>
        <w:t>Ps</w:t>
      </w:r>
      <w:proofErr w:type="spellEnd"/>
      <w:r w:rsidR="00F64F46">
        <w:rPr>
          <w:rFonts w:ascii="Arial" w:hAnsi="Arial" w:cs="Arial"/>
          <w:w w:val="0"/>
          <w:lang w:val="es-AR"/>
        </w:rPr>
        <w:t xml:space="preserve"> 2,7</w:t>
      </w:r>
      <w:r w:rsidR="00F64F46" w:rsidRPr="0082400E">
        <w:rPr>
          <w:rFonts w:ascii="Arial" w:hAnsi="Arial" w:cs="Arial"/>
          <w:w w:val="0"/>
          <w:lang w:val="es-AR"/>
        </w:rPr>
        <w:t xml:space="preserve"> MM, o </w:t>
      </w:r>
      <w:r w:rsidR="00F64F46">
        <w:rPr>
          <w:rFonts w:ascii="Arial" w:hAnsi="Arial" w:cs="Arial"/>
          <w:w w:val="0"/>
          <w:lang w:val="es-AR"/>
        </w:rPr>
        <w:t>105</w:t>
      </w:r>
      <w:r w:rsidR="00F64F46" w:rsidRPr="0082400E">
        <w:rPr>
          <w:rFonts w:ascii="Arial" w:hAnsi="Arial" w:cs="Arial"/>
          <w:w w:val="0"/>
          <w:lang w:val="es-AR"/>
        </w:rPr>
        <w:t xml:space="preserve">,3%, debido a un incremento de los precios promedio de venta medido en pesos y a un mayor volumen de venta. </w:t>
      </w:r>
      <w:r w:rsidR="00F64F46">
        <w:rPr>
          <w:rFonts w:ascii="Arial" w:hAnsi="Arial" w:cs="Arial"/>
          <w:w w:val="0"/>
          <w:lang w:val="es-AR"/>
        </w:rPr>
        <w:t xml:space="preserve">Las ventas de fuel </w:t>
      </w:r>
      <w:proofErr w:type="spellStart"/>
      <w:r w:rsidR="00F64F46">
        <w:rPr>
          <w:rFonts w:ascii="Arial" w:hAnsi="Arial" w:cs="Arial"/>
          <w:w w:val="0"/>
          <w:lang w:val="es-AR"/>
        </w:rPr>
        <w:t>oil</w:t>
      </w:r>
      <w:proofErr w:type="spellEnd"/>
      <w:r w:rsidR="00F64F46">
        <w:rPr>
          <w:rFonts w:ascii="Arial" w:hAnsi="Arial" w:cs="Arial"/>
          <w:w w:val="0"/>
          <w:lang w:val="es-AR"/>
        </w:rPr>
        <w:t xml:space="preserve"> aumentaron </w:t>
      </w:r>
      <w:proofErr w:type="spellStart"/>
      <w:r w:rsidR="00F64F46">
        <w:rPr>
          <w:rFonts w:ascii="Arial" w:hAnsi="Arial" w:cs="Arial"/>
          <w:w w:val="0"/>
          <w:lang w:val="es-AR"/>
        </w:rPr>
        <w:t>Ps</w:t>
      </w:r>
      <w:proofErr w:type="spellEnd"/>
      <w:r w:rsidR="00F64F46">
        <w:rPr>
          <w:rFonts w:ascii="Arial" w:hAnsi="Arial" w:cs="Arial"/>
          <w:w w:val="0"/>
          <w:lang w:val="es-AR"/>
        </w:rPr>
        <w:t xml:space="preserve"> 0,7 MM, o 109,5% debido a un incremento en los precios obtenidos y a mayores volúmenes comercializados. </w:t>
      </w:r>
      <w:r w:rsidR="007E5679" w:rsidRPr="00F64F46">
        <w:rPr>
          <w:rFonts w:ascii="Arial" w:hAnsi="Arial" w:cs="Arial"/>
          <w:w w:val="0"/>
          <w:lang w:val="es-AR"/>
        </w:rPr>
        <w:t>Además,</w:t>
      </w:r>
      <w:r w:rsidR="00F64F46">
        <w:rPr>
          <w:rFonts w:ascii="Arial" w:hAnsi="Arial" w:cs="Arial"/>
          <w:w w:val="0"/>
          <w:lang w:val="es-AR"/>
        </w:rPr>
        <w:t xml:space="preserve"> las ventas de lubricantes</w:t>
      </w:r>
      <w:r w:rsidR="004A0037" w:rsidRPr="00F64F46">
        <w:rPr>
          <w:rFonts w:ascii="Arial" w:hAnsi="Arial" w:cs="Arial"/>
          <w:w w:val="0"/>
          <w:lang w:val="es-AR"/>
        </w:rPr>
        <w:t xml:space="preserve"> se incrementaron por </w:t>
      </w:r>
      <w:proofErr w:type="spellStart"/>
      <w:r w:rsidR="00F64F46">
        <w:rPr>
          <w:rFonts w:ascii="Arial" w:hAnsi="Arial" w:cs="Arial"/>
          <w:w w:val="0"/>
          <w:lang w:val="es-AR"/>
        </w:rPr>
        <w:t>Ps</w:t>
      </w:r>
      <w:proofErr w:type="spellEnd"/>
      <w:r w:rsidR="00F64F46">
        <w:rPr>
          <w:rFonts w:ascii="Arial" w:hAnsi="Arial" w:cs="Arial"/>
          <w:w w:val="0"/>
          <w:lang w:val="es-AR"/>
        </w:rPr>
        <w:t xml:space="preserve"> 0,4</w:t>
      </w:r>
      <w:r w:rsidR="005362A3" w:rsidRPr="00F64F46">
        <w:rPr>
          <w:rFonts w:ascii="Arial" w:hAnsi="Arial" w:cs="Arial"/>
          <w:w w:val="0"/>
          <w:lang w:val="es-AR"/>
        </w:rPr>
        <w:t xml:space="preserve"> MM</w:t>
      </w:r>
      <w:r w:rsidR="004A0037" w:rsidRPr="00F64F46">
        <w:rPr>
          <w:rFonts w:ascii="Arial" w:hAnsi="Arial" w:cs="Arial"/>
          <w:w w:val="0"/>
          <w:lang w:val="es-AR"/>
        </w:rPr>
        <w:t>, con un</w:t>
      </w:r>
      <w:r w:rsidR="00F64F46">
        <w:rPr>
          <w:rFonts w:ascii="Arial" w:hAnsi="Arial" w:cs="Arial"/>
          <w:w w:val="0"/>
          <w:lang w:val="es-AR"/>
        </w:rPr>
        <w:t xml:space="preserve"> precio promedio de venta</w:t>
      </w:r>
      <w:r w:rsidR="00063AC0">
        <w:rPr>
          <w:rFonts w:ascii="Arial" w:hAnsi="Arial" w:cs="Arial"/>
          <w:w w:val="0"/>
          <w:lang w:val="es-AR"/>
        </w:rPr>
        <w:t xml:space="preserve"> </w:t>
      </w:r>
      <w:r w:rsidR="004A0037" w:rsidRPr="00F64F46">
        <w:rPr>
          <w:rFonts w:ascii="Arial" w:hAnsi="Arial" w:cs="Arial"/>
          <w:w w:val="0"/>
          <w:lang w:val="es-AR"/>
        </w:rPr>
        <w:t xml:space="preserve">en un </w:t>
      </w:r>
      <w:r w:rsidR="00F64F46">
        <w:rPr>
          <w:rFonts w:ascii="Arial" w:hAnsi="Arial" w:cs="Arial"/>
          <w:w w:val="0"/>
          <w:lang w:val="es-AR"/>
        </w:rPr>
        <w:t>82,0</w:t>
      </w:r>
      <w:r w:rsidR="004A0037" w:rsidRPr="00F64F46">
        <w:rPr>
          <w:rFonts w:ascii="Arial" w:hAnsi="Arial" w:cs="Arial"/>
          <w:w w:val="0"/>
          <w:lang w:val="es-AR"/>
        </w:rPr>
        <w:t>% comparado con el mismo período de 201</w:t>
      </w:r>
      <w:r w:rsidR="005362A3" w:rsidRPr="00F64F46">
        <w:rPr>
          <w:rFonts w:ascii="Arial" w:hAnsi="Arial" w:cs="Arial"/>
          <w:w w:val="0"/>
          <w:lang w:val="es-AR"/>
        </w:rPr>
        <w:t>8</w:t>
      </w:r>
      <w:r w:rsidR="00F64F46">
        <w:rPr>
          <w:rFonts w:ascii="Arial" w:hAnsi="Arial" w:cs="Arial"/>
          <w:w w:val="0"/>
          <w:lang w:val="es-AR"/>
        </w:rPr>
        <w:t xml:space="preserve">. Los productos petroquímicos aumentaron </w:t>
      </w:r>
      <w:proofErr w:type="spellStart"/>
      <w:r w:rsidR="00F64F46">
        <w:rPr>
          <w:rFonts w:ascii="Arial" w:hAnsi="Arial" w:cs="Arial"/>
          <w:w w:val="0"/>
          <w:lang w:val="es-AR"/>
        </w:rPr>
        <w:t>Ps</w:t>
      </w:r>
      <w:proofErr w:type="spellEnd"/>
      <w:r w:rsidR="00F64F46">
        <w:rPr>
          <w:rFonts w:ascii="Arial" w:hAnsi="Arial" w:cs="Arial"/>
          <w:w w:val="0"/>
          <w:lang w:val="es-AR"/>
        </w:rPr>
        <w:t xml:space="preserve"> 0,3 MM</w:t>
      </w:r>
      <w:r w:rsidR="00151474" w:rsidRPr="00364FA5">
        <w:rPr>
          <w:rFonts w:ascii="Arial" w:hAnsi="Arial" w:cs="Arial"/>
          <w:w w:val="0"/>
          <w:lang w:val="es-AR"/>
        </w:rPr>
        <w:t xml:space="preserve">, </w:t>
      </w:r>
      <w:r w:rsidR="00151474">
        <w:rPr>
          <w:rFonts w:ascii="Arial" w:hAnsi="Arial" w:cs="Arial"/>
          <w:w w:val="0"/>
          <w:lang w:val="es-AR"/>
        </w:rPr>
        <w:t xml:space="preserve">o 16,7%, </w:t>
      </w:r>
      <w:r w:rsidR="00151474" w:rsidRPr="00364FA5">
        <w:rPr>
          <w:rFonts w:ascii="Arial" w:hAnsi="Arial" w:cs="Arial"/>
          <w:w w:val="0"/>
          <w:lang w:val="es-AR"/>
        </w:rPr>
        <w:t>debido a mejores precios obtenidos, compensado en parte por los menores volúmenes comercializados.</w:t>
      </w:r>
    </w:p>
    <w:p w14:paraId="6E08275C" w14:textId="77777777" w:rsidR="00F64F46" w:rsidRPr="00F64F46" w:rsidRDefault="00F64F46" w:rsidP="00F64F46">
      <w:pPr>
        <w:spacing w:after="0" w:line="288" w:lineRule="auto"/>
        <w:ind w:left="993"/>
        <w:jc w:val="both"/>
        <w:rPr>
          <w:rFonts w:ascii="Arial" w:hAnsi="Arial" w:cs="Arial"/>
          <w:w w:val="0"/>
          <w:lang w:val="es-AR"/>
        </w:rPr>
      </w:pPr>
    </w:p>
    <w:p w14:paraId="65B27927" w14:textId="69D8F6D3" w:rsidR="001D5FEE" w:rsidRDefault="001D5FEE" w:rsidP="001D5FEE">
      <w:pPr>
        <w:spacing w:after="0"/>
        <w:jc w:val="both"/>
        <w:rPr>
          <w:rFonts w:ascii="Arial" w:hAnsi="Arial" w:cs="Arial"/>
          <w:spacing w:val="-3"/>
          <w:lang w:val="es-AR"/>
        </w:rPr>
      </w:pPr>
      <w:r w:rsidRPr="005D1EE8">
        <w:rPr>
          <w:rFonts w:ascii="Arial" w:hAnsi="Arial" w:cs="Arial"/>
          <w:spacing w:val="-3"/>
          <w:lang w:val="es-AR"/>
        </w:rPr>
        <w:t xml:space="preserve">En el </w:t>
      </w:r>
      <w:r w:rsidR="006B6A29">
        <w:rPr>
          <w:rFonts w:ascii="Arial" w:hAnsi="Arial" w:cs="Arial"/>
          <w:spacing w:val="-3"/>
          <w:lang w:val="es-AR"/>
        </w:rPr>
        <w:t xml:space="preserve">segundo </w:t>
      </w:r>
      <w:r w:rsidR="00AF7792" w:rsidRPr="005D1EE8">
        <w:rPr>
          <w:rFonts w:ascii="Arial" w:hAnsi="Arial" w:cs="Arial"/>
          <w:spacing w:val="-3"/>
          <w:lang w:val="es-AR"/>
        </w:rPr>
        <w:t>trimestre de 201</w:t>
      </w:r>
      <w:r w:rsidR="00C67440">
        <w:rPr>
          <w:rFonts w:ascii="Arial" w:hAnsi="Arial" w:cs="Arial"/>
          <w:spacing w:val="-3"/>
          <w:lang w:val="es-AR"/>
        </w:rPr>
        <w:t>9</w:t>
      </w:r>
      <w:r w:rsidRPr="005D1EE8">
        <w:rPr>
          <w:rFonts w:ascii="Arial" w:hAnsi="Arial" w:cs="Arial"/>
          <w:spacing w:val="-3"/>
          <w:lang w:val="es-AR"/>
        </w:rPr>
        <w:t xml:space="preserve"> los costos y gastos operativos se </w:t>
      </w:r>
      <w:r w:rsidRPr="00870F9E">
        <w:rPr>
          <w:rFonts w:ascii="Arial" w:hAnsi="Arial" w:cs="Arial"/>
          <w:spacing w:val="-3"/>
          <w:lang w:val="es-AR"/>
        </w:rPr>
        <w:t xml:space="preserve">incrementaron un </w:t>
      </w:r>
      <w:r w:rsidR="00BB0F97">
        <w:rPr>
          <w:rFonts w:ascii="Arial" w:hAnsi="Arial" w:cs="Arial"/>
          <w:spacing w:val="-3"/>
          <w:lang w:val="es-AR"/>
        </w:rPr>
        <w:t>74,9</w:t>
      </w:r>
      <w:r w:rsidRPr="00BF6747">
        <w:rPr>
          <w:rFonts w:ascii="Arial" w:hAnsi="Arial" w:cs="Arial"/>
          <w:spacing w:val="-3"/>
          <w:lang w:val="es-AR"/>
        </w:rPr>
        <w:t xml:space="preserve">%, o </w:t>
      </w:r>
      <w:proofErr w:type="spellStart"/>
      <w:r w:rsidRPr="00BF6747">
        <w:rPr>
          <w:rFonts w:ascii="Arial" w:hAnsi="Arial" w:cs="Arial"/>
          <w:spacing w:val="-3"/>
          <w:lang w:val="es-AR"/>
        </w:rPr>
        <w:t>Ps</w:t>
      </w:r>
      <w:proofErr w:type="spellEnd"/>
      <w:r w:rsidRPr="00BF6747">
        <w:rPr>
          <w:rFonts w:ascii="Arial" w:hAnsi="Arial" w:cs="Arial"/>
          <w:spacing w:val="-3"/>
          <w:lang w:val="es-AR"/>
        </w:rPr>
        <w:t xml:space="preserve"> </w:t>
      </w:r>
      <w:r w:rsidR="00BB0F97">
        <w:rPr>
          <w:rFonts w:ascii="Arial" w:hAnsi="Arial" w:cs="Arial"/>
          <w:spacing w:val="-3"/>
          <w:lang w:val="es-AR"/>
        </w:rPr>
        <w:t>48,3</w:t>
      </w:r>
      <w:r w:rsidR="0081463A" w:rsidRPr="00BF6747">
        <w:rPr>
          <w:rFonts w:ascii="Arial" w:hAnsi="Arial" w:cs="Arial"/>
          <w:spacing w:val="-3"/>
          <w:lang w:val="es-AR"/>
        </w:rPr>
        <w:t xml:space="preserve"> </w:t>
      </w:r>
      <w:r w:rsidRPr="00870F9E">
        <w:rPr>
          <w:rFonts w:ascii="Arial" w:hAnsi="Arial" w:cs="Arial"/>
          <w:spacing w:val="-3"/>
          <w:lang w:val="es-AR"/>
        </w:rPr>
        <w:t xml:space="preserve">MM, </w:t>
      </w:r>
      <w:proofErr w:type="gramStart"/>
      <w:r w:rsidRPr="00870F9E">
        <w:rPr>
          <w:rFonts w:ascii="Arial" w:hAnsi="Arial" w:cs="Arial"/>
          <w:spacing w:val="-3"/>
          <w:lang w:val="es-AR"/>
        </w:rPr>
        <w:t>en relación al</w:t>
      </w:r>
      <w:proofErr w:type="gramEnd"/>
      <w:r w:rsidRPr="00870F9E">
        <w:rPr>
          <w:rFonts w:ascii="Arial" w:hAnsi="Arial" w:cs="Arial"/>
          <w:spacing w:val="-3"/>
          <w:lang w:val="es-AR"/>
        </w:rPr>
        <w:t xml:space="preserve"> mismo periodo del año anterio</w:t>
      </w:r>
      <w:r w:rsidR="00BB0F97">
        <w:rPr>
          <w:rFonts w:ascii="Arial" w:hAnsi="Arial" w:cs="Arial"/>
          <w:spacing w:val="-3"/>
          <w:lang w:val="es-AR"/>
        </w:rPr>
        <w:t xml:space="preserve">r, alcanzando los </w:t>
      </w:r>
      <w:proofErr w:type="spellStart"/>
      <w:r w:rsidR="00BB0F97">
        <w:rPr>
          <w:rFonts w:ascii="Arial" w:hAnsi="Arial" w:cs="Arial"/>
          <w:spacing w:val="-3"/>
          <w:lang w:val="es-AR"/>
        </w:rPr>
        <w:t>Ps</w:t>
      </w:r>
      <w:proofErr w:type="spellEnd"/>
      <w:r w:rsidR="00BB0F97">
        <w:rPr>
          <w:rFonts w:ascii="Arial" w:hAnsi="Arial" w:cs="Arial"/>
          <w:spacing w:val="-3"/>
          <w:lang w:val="es-AR"/>
        </w:rPr>
        <w:t xml:space="preserve"> 112,8 </w:t>
      </w:r>
      <w:r w:rsidR="00D87012" w:rsidRPr="00870F9E">
        <w:rPr>
          <w:rFonts w:ascii="Arial" w:hAnsi="Arial" w:cs="Arial"/>
          <w:spacing w:val="-3"/>
          <w:lang w:val="es-AR"/>
        </w:rPr>
        <w:t>MM</w:t>
      </w:r>
      <w:r w:rsidRPr="00870F9E">
        <w:rPr>
          <w:rFonts w:ascii="Arial" w:hAnsi="Arial" w:cs="Arial"/>
          <w:spacing w:val="-3"/>
          <w:lang w:val="es-AR"/>
        </w:rPr>
        <w:t>.</w:t>
      </w:r>
      <w:r w:rsidRPr="00BF6747">
        <w:rPr>
          <w:rFonts w:ascii="Arial" w:hAnsi="Arial" w:cs="Arial"/>
          <w:spacing w:val="-3"/>
          <w:lang w:val="es-AR"/>
        </w:rPr>
        <w:t xml:space="preserve"> Se destacan:</w:t>
      </w:r>
      <w:r w:rsidRPr="005D1EE8">
        <w:rPr>
          <w:rFonts w:ascii="Arial" w:hAnsi="Arial" w:cs="Arial"/>
          <w:spacing w:val="-3"/>
          <w:lang w:val="es-AR"/>
        </w:rPr>
        <w:t xml:space="preserve"> </w:t>
      </w:r>
    </w:p>
    <w:p w14:paraId="0ADEBACB" w14:textId="7D55AE22" w:rsidR="00E32D71" w:rsidRPr="005D1EE8" w:rsidRDefault="00E32D71" w:rsidP="001D5FEE">
      <w:pPr>
        <w:spacing w:after="0"/>
        <w:jc w:val="both"/>
        <w:rPr>
          <w:rFonts w:ascii="Arial" w:hAnsi="Arial" w:cs="Arial"/>
          <w:spacing w:val="-3"/>
          <w:lang w:val="es-AR"/>
        </w:rPr>
      </w:pPr>
    </w:p>
    <w:p w14:paraId="16802796" w14:textId="04B75F3A" w:rsidR="0020157B" w:rsidRPr="0020157B" w:rsidRDefault="00451CDC" w:rsidP="0020157B">
      <w:pPr>
        <w:numPr>
          <w:ilvl w:val="0"/>
          <w:numId w:val="5"/>
        </w:numPr>
        <w:spacing w:after="120" w:line="288" w:lineRule="auto"/>
        <w:ind w:left="993" w:hanging="283"/>
        <w:jc w:val="both"/>
        <w:rPr>
          <w:rFonts w:ascii="Arial" w:hAnsi="Arial" w:cs="Arial"/>
          <w:w w:val="0"/>
          <w:lang w:val="es-AR"/>
        </w:rPr>
      </w:pPr>
      <w:bookmarkStart w:id="79" w:name="_Hlk2176813"/>
      <w:r w:rsidRPr="0020157B">
        <w:rPr>
          <w:rFonts w:ascii="Arial" w:hAnsi="Arial" w:cs="Arial"/>
          <w:w w:val="0"/>
          <w:lang w:val="es-AR"/>
        </w:rPr>
        <w:t>L</w:t>
      </w:r>
      <w:r w:rsidR="00264EDF" w:rsidRPr="0020157B">
        <w:rPr>
          <w:rFonts w:ascii="Arial" w:hAnsi="Arial" w:cs="Arial"/>
          <w:w w:val="0"/>
          <w:lang w:val="es-AR"/>
        </w:rPr>
        <w:t>as compras de petróleo crudo</w:t>
      </w:r>
      <w:r w:rsidRPr="0020157B">
        <w:rPr>
          <w:rFonts w:ascii="Arial" w:hAnsi="Arial" w:cs="Arial"/>
          <w:w w:val="0"/>
          <w:lang w:val="es-AR"/>
        </w:rPr>
        <w:t xml:space="preserve"> del </w:t>
      </w:r>
      <w:r w:rsidR="006B6A29" w:rsidRPr="0020157B">
        <w:rPr>
          <w:rFonts w:ascii="Arial" w:hAnsi="Arial" w:cs="Arial"/>
          <w:w w:val="0"/>
          <w:lang w:val="es-AR"/>
        </w:rPr>
        <w:t>segundo</w:t>
      </w:r>
      <w:r w:rsidRPr="0020157B">
        <w:rPr>
          <w:rFonts w:ascii="Arial" w:hAnsi="Arial" w:cs="Arial"/>
          <w:w w:val="0"/>
          <w:lang w:val="es-AR"/>
        </w:rPr>
        <w:t xml:space="preserve"> tr</w:t>
      </w:r>
      <w:r w:rsidR="00C67440" w:rsidRPr="0020157B">
        <w:rPr>
          <w:rFonts w:ascii="Arial" w:hAnsi="Arial" w:cs="Arial"/>
          <w:w w:val="0"/>
          <w:lang w:val="es-AR"/>
        </w:rPr>
        <w:t>imestre 2019</w:t>
      </w:r>
      <w:r w:rsidR="009E0266" w:rsidRPr="0020157B">
        <w:rPr>
          <w:rFonts w:ascii="Arial" w:hAnsi="Arial" w:cs="Arial"/>
          <w:w w:val="0"/>
          <w:lang w:val="es-AR"/>
        </w:rPr>
        <w:t xml:space="preserve"> ascendieron a </w:t>
      </w:r>
      <w:proofErr w:type="spellStart"/>
      <w:r w:rsidR="009E0266" w:rsidRPr="0020157B">
        <w:rPr>
          <w:rFonts w:ascii="Arial" w:hAnsi="Arial" w:cs="Arial"/>
          <w:w w:val="0"/>
          <w:lang w:val="es-AR"/>
        </w:rPr>
        <w:t>Ps</w:t>
      </w:r>
      <w:proofErr w:type="spellEnd"/>
      <w:r w:rsidR="009E0266" w:rsidRPr="0020157B">
        <w:rPr>
          <w:rFonts w:ascii="Arial" w:hAnsi="Arial" w:cs="Arial"/>
          <w:w w:val="0"/>
          <w:lang w:val="es-AR"/>
        </w:rPr>
        <w:t xml:space="preserve"> </w:t>
      </w:r>
      <w:r w:rsidR="0020157B" w:rsidRPr="0020157B">
        <w:rPr>
          <w:rFonts w:ascii="Arial" w:hAnsi="Arial" w:cs="Arial"/>
          <w:w w:val="0"/>
          <w:lang w:val="es-AR"/>
        </w:rPr>
        <w:t>6</w:t>
      </w:r>
      <w:r w:rsidR="008450B0">
        <w:rPr>
          <w:rFonts w:ascii="Arial" w:hAnsi="Arial" w:cs="Arial"/>
          <w:w w:val="0"/>
          <w:lang w:val="es-AR"/>
        </w:rPr>
        <w:t>4,6</w:t>
      </w:r>
      <w:r w:rsidRPr="0020157B">
        <w:rPr>
          <w:rFonts w:ascii="Arial" w:hAnsi="Arial" w:cs="Arial"/>
          <w:w w:val="0"/>
          <w:lang w:val="es-AR"/>
        </w:rPr>
        <w:t xml:space="preserve"> MM, siendo superiores </w:t>
      </w:r>
      <w:r w:rsidR="00BB0F97" w:rsidRPr="0020157B">
        <w:rPr>
          <w:rFonts w:ascii="Arial" w:hAnsi="Arial" w:cs="Arial"/>
          <w:w w:val="0"/>
          <w:lang w:val="es-AR"/>
        </w:rPr>
        <w:t xml:space="preserve">a los </w:t>
      </w:r>
      <w:proofErr w:type="spellStart"/>
      <w:r w:rsidR="00BB0F97" w:rsidRPr="0020157B">
        <w:rPr>
          <w:rFonts w:ascii="Arial" w:hAnsi="Arial" w:cs="Arial"/>
          <w:w w:val="0"/>
          <w:lang w:val="es-AR"/>
        </w:rPr>
        <w:t>Ps</w:t>
      </w:r>
      <w:proofErr w:type="spellEnd"/>
      <w:r w:rsidR="00BB0F97" w:rsidRPr="0020157B">
        <w:rPr>
          <w:rFonts w:ascii="Arial" w:hAnsi="Arial" w:cs="Arial"/>
          <w:w w:val="0"/>
          <w:lang w:val="es-AR"/>
        </w:rPr>
        <w:t xml:space="preserve"> </w:t>
      </w:r>
      <w:r w:rsidR="0020157B" w:rsidRPr="0020157B">
        <w:rPr>
          <w:rFonts w:ascii="Arial" w:hAnsi="Arial" w:cs="Arial"/>
          <w:w w:val="0"/>
          <w:lang w:val="es-AR"/>
        </w:rPr>
        <w:t>3</w:t>
      </w:r>
      <w:r w:rsidR="008450B0">
        <w:rPr>
          <w:rFonts w:ascii="Arial" w:hAnsi="Arial" w:cs="Arial"/>
          <w:w w:val="0"/>
          <w:lang w:val="es-AR"/>
        </w:rPr>
        <w:t>7,0</w:t>
      </w:r>
      <w:r w:rsidR="009E0266" w:rsidRPr="0020157B">
        <w:rPr>
          <w:rFonts w:ascii="Arial" w:hAnsi="Arial" w:cs="Arial"/>
          <w:w w:val="0"/>
          <w:lang w:val="es-AR"/>
        </w:rPr>
        <w:t xml:space="preserve"> </w:t>
      </w:r>
      <w:r w:rsidR="00F06C90" w:rsidRPr="0020157B">
        <w:rPr>
          <w:rFonts w:ascii="Arial" w:hAnsi="Arial" w:cs="Arial"/>
          <w:w w:val="0"/>
          <w:lang w:val="es-AR"/>
        </w:rPr>
        <w:t xml:space="preserve">MM del </w:t>
      </w:r>
      <w:r w:rsidR="006B6A29" w:rsidRPr="0020157B">
        <w:rPr>
          <w:rFonts w:ascii="Arial" w:hAnsi="Arial" w:cs="Arial"/>
          <w:w w:val="0"/>
          <w:lang w:val="es-AR"/>
        </w:rPr>
        <w:t>segundo</w:t>
      </w:r>
      <w:r w:rsidR="00C67440" w:rsidRPr="0020157B">
        <w:rPr>
          <w:rFonts w:ascii="Arial" w:hAnsi="Arial" w:cs="Arial"/>
          <w:w w:val="0"/>
          <w:lang w:val="es-AR"/>
        </w:rPr>
        <w:t xml:space="preserve"> trimestre 2018</w:t>
      </w:r>
      <w:r w:rsidR="00264EDF" w:rsidRPr="0020157B">
        <w:rPr>
          <w:rFonts w:ascii="Arial" w:hAnsi="Arial" w:cs="Arial"/>
          <w:w w:val="0"/>
          <w:lang w:val="es-AR"/>
        </w:rPr>
        <w:t xml:space="preserve"> </w:t>
      </w:r>
      <w:r w:rsidR="00F06C90" w:rsidRPr="0020157B">
        <w:rPr>
          <w:rFonts w:ascii="Arial" w:hAnsi="Arial" w:cs="Arial"/>
          <w:w w:val="0"/>
          <w:lang w:val="es-AR"/>
        </w:rPr>
        <w:t xml:space="preserve">en </w:t>
      </w:r>
      <w:proofErr w:type="spellStart"/>
      <w:r w:rsidR="00BB0F97" w:rsidRPr="0020157B">
        <w:rPr>
          <w:rFonts w:ascii="Arial" w:hAnsi="Arial" w:cs="Arial"/>
          <w:w w:val="0"/>
          <w:lang w:val="es-AR"/>
        </w:rPr>
        <w:t>Ps</w:t>
      </w:r>
      <w:proofErr w:type="spellEnd"/>
      <w:r w:rsidR="00BB0F97" w:rsidRPr="0020157B">
        <w:rPr>
          <w:rFonts w:ascii="Arial" w:hAnsi="Arial" w:cs="Arial"/>
          <w:w w:val="0"/>
          <w:lang w:val="es-AR"/>
        </w:rPr>
        <w:t xml:space="preserve"> </w:t>
      </w:r>
      <w:r w:rsidR="0020157B" w:rsidRPr="0020157B">
        <w:rPr>
          <w:rFonts w:ascii="Arial" w:hAnsi="Arial" w:cs="Arial"/>
          <w:w w:val="0"/>
          <w:lang w:val="es-AR"/>
        </w:rPr>
        <w:t>2</w:t>
      </w:r>
      <w:r w:rsidR="008450B0">
        <w:rPr>
          <w:rFonts w:ascii="Arial" w:hAnsi="Arial" w:cs="Arial"/>
          <w:w w:val="0"/>
          <w:lang w:val="es-AR"/>
        </w:rPr>
        <w:t>7</w:t>
      </w:r>
      <w:r w:rsidR="0020157B" w:rsidRPr="0020157B">
        <w:rPr>
          <w:rFonts w:ascii="Arial" w:hAnsi="Arial" w:cs="Arial"/>
          <w:w w:val="0"/>
          <w:lang w:val="es-AR"/>
        </w:rPr>
        <w:t>,6</w:t>
      </w:r>
      <w:r w:rsidR="003A5676" w:rsidRPr="0020157B">
        <w:rPr>
          <w:rFonts w:ascii="Arial" w:hAnsi="Arial" w:cs="Arial"/>
          <w:w w:val="0"/>
          <w:lang w:val="es-AR"/>
        </w:rPr>
        <w:t xml:space="preserve"> MM</w:t>
      </w:r>
      <w:r w:rsidR="00C20EAA" w:rsidRPr="0020157B">
        <w:rPr>
          <w:rFonts w:ascii="Arial" w:hAnsi="Arial" w:cs="Arial"/>
          <w:w w:val="0"/>
          <w:lang w:val="es-AR"/>
        </w:rPr>
        <w:t>,</w:t>
      </w:r>
      <w:r w:rsidR="003A5676" w:rsidRPr="0020157B">
        <w:rPr>
          <w:rFonts w:ascii="Arial" w:hAnsi="Arial" w:cs="Arial"/>
          <w:w w:val="0"/>
          <w:lang w:val="es-AR"/>
        </w:rPr>
        <w:t xml:space="preserve"> </w:t>
      </w:r>
      <w:r w:rsidR="00BB0F97" w:rsidRPr="0020157B">
        <w:rPr>
          <w:rFonts w:ascii="Arial" w:hAnsi="Arial" w:cs="Arial"/>
          <w:w w:val="0"/>
          <w:lang w:val="es-AR"/>
        </w:rPr>
        <w:t xml:space="preserve">o </w:t>
      </w:r>
      <w:r w:rsidR="00ED1FC9">
        <w:rPr>
          <w:rFonts w:ascii="Arial" w:hAnsi="Arial" w:cs="Arial"/>
          <w:w w:val="0"/>
          <w:lang w:val="es-AR"/>
        </w:rPr>
        <w:t>7</w:t>
      </w:r>
      <w:r w:rsidR="008450B0">
        <w:rPr>
          <w:rFonts w:ascii="Arial" w:hAnsi="Arial" w:cs="Arial"/>
          <w:w w:val="0"/>
          <w:lang w:val="es-AR"/>
        </w:rPr>
        <w:t>4,7</w:t>
      </w:r>
      <w:r w:rsidR="00264EDF" w:rsidRPr="0020157B">
        <w:rPr>
          <w:rFonts w:ascii="Arial" w:hAnsi="Arial" w:cs="Arial"/>
          <w:w w:val="0"/>
          <w:lang w:val="es-AR"/>
        </w:rPr>
        <w:t>%.</w:t>
      </w:r>
      <w:r w:rsidR="009E0266" w:rsidRPr="0020157B">
        <w:rPr>
          <w:rFonts w:ascii="Arial" w:hAnsi="Arial" w:cs="Arial"/>
          <w:w w:val="0"/>
          <w:lang w:val="es-AR"/>
        </w:rPr>
        <w:t xml:space="preserve"> </w:t>
      </w:r>
      <w:r w:rsidR="00444557" w:rsidRPr="0020157B">
        <w:rPr>
          <w:rFonts w:ascii="Arial" w:hAnsi="Arial" w:cs="Arial"/>
          <w:w w:val="0"/>
          <w:lang w:val="es-AR"/>
        </w:rPr>
        <w:t xml:space="preserve">Se observó una suba de </w:t>
      </w:r>
      <w:r w:rsidR="0020157B" w:rsidRPr="0020157B">
        <w:rPr>
          <w:rFonts w:ascii="Arial" w:hAnsi="Arial" w:cs="Arial"/>
          <w:w w:val="0"/>
          <w:lang w:val="es-AR"/>
        </w:rPr>
        <w:t>7</w:t>
      </w:r>
      <w:r w:rsidR="008450B0">
        <w:rPr>
          <w:rFonts w:ascii="Arial" w:hAnsi="Arial" w:cs="Arial"/>
          <w:w w:val="0"/>
          <w:lang w:val="es-AR"/>
        </w:rPr>
        <w:t>1,0</w:t>
      </w:r>
      <w:r w:rsidR="00444557" w:rsidRPr="0020157B">
        <w:rPr>
          <w:rFonts w:ascii="Arial" w:hAnsi="Arial" w:cs="Arial"/>
          <w:w w:val="0"/>
          <w:lang w:val="es-AR"/>
        </w:rPr>
        <w:t>% en los precios del petróleo crudo expresado en pesos, principalmente debido a la devaluación acaecida. A su vez, el volumen comprado a ter</w:t>
      </w:r>
      <w:r w:rsidR="00BB0F97" w:rsidRPr="0020157B">
        <w:rPr>
          <w:rFonts w:ascii="Arial" w:hAnsi="Arial" w:cs="Arial"/>
          <w:w w:val="0"/>
          <w:lang w:val="es-AR"/>
        </w:rPr>
        <w:t>ceros tuvo un incremento de 16,0</w:t>
      </w:r>
      <w:r w:rsidR="00444557" w:rsidRPr="0020157B">
        <w:rPr>
          <w:rFonts w:ascii="Arial" w:hAnsi="Arial" w:cs="Arial"/>
          <w:w w:val="0"/>
          <w:lang w:val="es-AR"/>
        </w:rPr>
        <w:t xml:space="preserve">%, mientras que el volumen de crudo transferido del segmento </w:t>
      </w:r>
      <w:proofErr w:type="spellStart"/>
      <w:r w:rsidR="00444557" w:rsidRPr="0020157B">
        <w:rPr>
          <w:rFonts w:ascii="Arial" w:hAnsi="Arial" w:cs="Arial"/>
          <w:w w:val="0"/>
          <w:lang w:val="es-AR"/>
        </w:rPr>
        <w:t>Upstream</w:t>
      </w:r>
      <w:proofErr w:type="spellEnd"/>
      <w:r w:rsidR="00444557" w:rsidRPr="0020157B">
        <w:rPr>
          <w:rFonts w:ascii="Arial" w:hAnsi="Arial" w:cs="Arial"/>
          <w:w w:val="0"/>
          <w:lang w:val="es-AR"/>
        </w:rPr>
        <w:t xml:space="preserve"> tuvo una disminución del </w:t>
      </w:r>
      <w:r w:rsidR="00C476D0" w:rsidRPr="0020157B">
        <w:rPr>
          <w:rFonts w:ascii="Arial" w:hAnsi="Arial" w:cs="Arial"/>
          <w:w w:val="0"/>
          <w:lang w:val="es-AR"/>
        </w:rPr>
        <w:t>0,7</w:t>
      </w:r>
      <w:r w:rsidR="00444557" w:rsidRPr="0020157B">
        <w:rPr>
          <w:rFonts w:ascii="Arial" w:hAnsi="Arial" w:cs="Arial"/>
          <w:w w:val="0"/>
          <w:lang w:val="es-AR"/>
        </w:rPr>
        <w:t>%;</w:t>
      </w:r>
    </w:p>
    <w:p w14:paraId="60181342" w14:textId="61066D3F" w:rsidR="0020157B" w:rsidRDefault="00515AD1" w:rsidP="00515AD1">
      <w:pPr>
        <w:numPr>
          <w:ilvl w:val="0"/>
          <w:numId w:val="5"/>
        </w:numPr>
        <w:spacing w:after="120" w:line="288" w:lineRule="auto"/>
        <w:ind w:left="993" w:hanging="283"/>
        <w:jc w:val="both"/>
        <w:rPr>
          <w:rFonts w:ascii="Arial" w:hAnsi="Arial" w:cs="Arial"/>
          <w:w w:val="0"/>
          <w:lang w:val="es-AR"/>
        </w:rPr>
      </w:pPr>
      <w:r w:rsidRPr="00672B66">
        <w:rPr>
          <w:rFonts w:ascii="Arial" w:hAnsi="Arial" w:cs="Arial"/>
          <w:w w:val="0"/>
          <w:lang w:val="es-AR"/>
        </w:rPr>
        <w:t xml:space="preserve">Las importaciones de combustibles del </w:t>
      </w:r>
      <w:r>
        <w:rPr>
          <w:rFonts w:ascii="Arial" w:hAnsi="Arial" w:cs="Arial"/>
          <w:w w:val="0"/>
          <w:lang w:val="es-AR"/>
        </w:rPr>
        <w:t>segundo</w:t>
      </w:r>
      <w:r w:rsidRPr="00672B66">
        <w:rPr>
          <w:rFonts w:ascii="Arial" w:hAnsi="Arial" w:cs="Arial"/>
          <w:w w:val="0"/>
          <w:lang w:val="es-AR"/>
        </w:rPr>
        <w:t xml:space="preserve"> trim</w:t>
      </w:r>
      <w:r>
        <w:rPr>
          <w:rFonts w:ascii="Arial" w:hAnsi="Arial" w:cs="Arial"/>
          <w:w w:val="0"/>
          <w:lang w:val="es-AR"/>
        </w:rPr>
        <w:t xml:space="preserve">estre 2019 alcanzaron los </w:t>
      </w:r>
      <w:proofErr w:type="spellStart"/>
      <w:r>
        <w:rPr>
          <w:rFonts w:ascii="Arial" w:hAnsi="Arial" w:cs="Arial"/>
          <w:w w:val="0"/>
          <w:lang w:val="es-AR"/>
        </w:rPr>
        <w:t>Ps</w:t>
      </w:r>
      <w:proofErr w:type="spellEnd"/>
      <w:r>
        <w:rPr>
          <w:rFonts w:ascii="Arial" w:hAnsi="Arial" w:cs="Arial"/>
          <w:w w:val="0"/>
          <w:lang w:val="es-AR"/>
        </w:rPr>
        <w:t xml:space="preserve"> 10,4</w:t>
      </w:r>
      <w:r w:rsidRPr="00672B66">
        <w:rPr>
          <w:rFonts w:ascii="Arial" w:hAnsi="Arial" w:cs="Arial"/>
          <w:w w:val="0"/>
          <w:lang w:val="es-AR"/>
        </w:rPr>
        <w:t xml:space="preserve"> MM, siendo sup</w:t>
      </w:r>
      <w:r>
        <w:rPr>
          <w:rFonts w:ascii="Arial" w:hAnsi="Arial" w:cs="Arial"/>
          <w:w w:val="0"/>
          <w:lang w:val="es-AR"/>
        </w:rPr>
        <w:t xml:space="preserve">eriores a los </w:t>
      </w:r>
      <w:proofErr w:type="spellStart"/>
      <w:r>
        <w:rPr>
          <w:rFonts w:ascii="Arial" w:hAnsi="Arial" w:cs="Arial"/>
          <w:w w:val="0"/>
          <w:lang w:val="es-AR"/>
        </w:rPr>
        <w:t>Ps</w:t>
      </w:r>
      <w:proofErr w:type="spellEnd"/>
      <w:r>
        <w:rPr>
          <w:rFonts w:ascii="Arial" w:hAnsi="Arial" w:cs="Arial"/>
          <w:w w:val="0"/>
          <w:lang w:val="es-AR"/>
        </w:rPr>
        <w:t xml:space="preserve"> 3</w:t>
      </w:r>
      <w:r w:rsidRPr="00672B66">
        <w:rPr>
          <w:rFonts w:ascii="Arial" w:hAnsi="Arial" w:cs="Arial"/>
          <w:w w:val="0"/>
          <w:lang w:val="es-AR"/>
        </w:rPr>
        <w:t xml:space="preserve">,8 MM del </w:t>
      </w:r>
      <w:r>
        <w:rPr>
          <w:rFonts w:ascii="Arial" w:hAnsi="Arial" w:cs="Arial"/>
          <w:w w:val="0"/>
          <w:lang w:val="es-AR"/>
        </w:rPr>
        <w:t xml:space="preserve">segundo trimestre 2018 en </w:t>
      </w:r>
      <w:proofErr w:type="spellStart"/>
      <w:r>
        <w:rPr>
          <w:rFonts w:ascii="Arial" w:hAnsi="Arial" w:cs="Arial"/>
          <w:w w:val="0"/>
          <w:lang w:val="es-AR"/>
        </w:rPr>
        <w:t>Ps</w:t>
      </w:r>
      <w:proofErr w:type="spellEnd"/>
      <w:r>
        <w:rPr>
          <w:rFonts w:ascii="Arial" w:hAnsi="Arial" w:cs="Arial"/>
          <w:w w:val="0"/>
          <w:lang w:val="es-AR"/>
        </w:rPr>
        <w:t xml:space="preserve"> 6,6</w:t>
      </w:r>
      <w:r w:rsidRPr="00672B66">
        <w:rPr>
          <w:rFonts w:ascii="Arial" w:hAnsi="Arial" w:cs="Arial"/>
          <w:w w:val="0"/>
          <w:lang w:val="es-AR"/>
        </w:rPr>
        <w:t xml:space="preserve"> MM</w:t>
      </w:r>
      <w:r>
        <w:rPr>
          <w:rFonts w:ascii="Arial" w:hAnsi="Arial" w:cs="Arial"/>
          <w:w w:val="0"/>
          <w:lang w:val="es-AR"/>
        </w:rPr>
        <w:t>, o 176,9</w:t>
      </w:r>
      <w:r w:rsidRPr="00672B66">
        <w:rPr>
          <w:rFonts w:ascii="Arial" w:hAnsi="Arial" w:cs="Arial"/>
          <w:w w:val="0"/>
          <w:lang w:val="es-AR"/>
        </w:rPr>
        <w:t xml:space="preserve">% </w:t>
      </w:r>
      <w:r w:rsidR="0020157B" w:rsidRPr="0020157B">
        <w:rPr>
          <w:rFonts w:ascii="Arial" w:hAnsi="Arial" w:cs="Arial"/>
          <w:w w:val="0"/>
          <w:lang w:val="es-AR"/>
        </w:rPr>
        <w:t xml:space="preserve">que corresponden fundamentalmente a mayores importaciones de gas </w:t>
      </w:r>
      <w:proofErr w:type="spellStart"/>
      <w:r w:rsidR="0020157B" w:rsidRPr="0020157B">
        <w:rPr>
          <w:rFonts w:ascii="Arial" w:hAnsi="Arial" w:cs="Arial"/>
          <w:w w:val="0"/>
          <w:lang w:val="es-AR"/>
        </w:rPr>
        <w:t>oil</w:t>
      </w:r>
      <w:proofErr w:type="spellEnd"/>
      <w:r w:rsidR="0020157B" w:rsidRPr="0020157B">
        <w:rPr>
          <w:rFonts w:ascii="Arial" w:hAnsi="Arial" w:cs="Arial"/>
          <w:w w:val="0"/>
          <w:lang w:val="es-AR"/>
        </w:rPr>
        <w:t xml:space="preserve"> y de jet </w:t>
      </w:r>
      <w:r w:rsidR="0020157B">
        <w:rPr>
          <w:rFonts w:ascii="Arial" w:hAnsi="Arial" w:cs="Arial"/>
          <w:w w:val="0"/>
          <w:lang w:val="es-AR"/>
        </w:rPr>
        <w:t xml:space="preserve">fuel </w:t>
      </w:r>
      <w:r w:rsidR="008F5A32" w:rsidRPr="007137F0">
        <w:rPr>
          <w:rFonts w:ascii="Arial" w:hAnsi="Arial" w:cs="Arial"/>
          <w:w w:val="0"/>
          <w:lang w:val="es-AR"/>
        </w:rPr>
        <w:t xml:space="preserve">debido principalmente al menor nivel de </w:t>
      </w:r>
      <w:r w:rsidR="008F5A32" w:rsidRPr="00FC3690">
        <w:rPr>
          <w:rFonts w:ascii="Arial" w:hAnsi="Arial" w:cs="Arial"/>
          <w:lang w:val="es-AR"/>
        </w:rPr>
        <w:t>procesamiento en 2019 como así también a la devaluación acaecida en el presente período mencionado previamente</w:t>
      </w:r>
      <w:r w:rsidR="00A03820">
        <w:rPr>
          <w:rFonts w:ascii="Arial" w:hAnsi="Arial" w:cs="Arial"/>
          <w:lang w:val="es-AR"/>
        </w:rPr>
        <w:t>;</w:t>
      </w:r>
    </w:p>
    <w:p w14:paraId="5D64E4E5" w14:textId="197FB616" w:rsidR="005877EE" w:rsidRDefault="005877EE" w:rsidP="00A62DDE">
      <w:pPr>
        <w:numPr>
          <w:ilvl w:val="0"/>
          <w:numId w:val="5"/>
        </w:numPr>
        <w:spacing w:after="120" w:line="288" w:lineRule="auto"/>
        <w:ind w:left="993" w:hanging="283"/>
        <w:jc w:val="both"/>
        <w:rPr>
          <w:rFonts w:ascii="Arial" w:hAnsi="Arial" w:cs="Arial"/>
          <w:w w:val="0"/>
          <w:lang w:val="es-AR"/>
        </w:rPr>
      </w:pPr>
      <w:bookmarkStart w:id="80" w:name="_Hlk2176986"/>
      <w:bookmarkEnd w:id="79"/>
      <w:r w:rsidRPr="00672B66">
        <w:rPr>
          <w:rFonts w:ascii="Arial" w:hAnsi="Arial" w:cs="Arial"/>
          <w:w w:val="0"/>
          <w:lang w:val="es-AR"/>
        </w:rPr>
        <w:lastRenderedPageBreak/>
        <w:t xml:space="preserve">Las compras de biocombustibles (FAME y bioetanol) correspondientes al </w:t>
      </w:r>
      <w:r w:rsidR="006B6A29">
        <w:rPr>
          <w:rFonts w:ascii="Arial" w:hAnsi="Arial" w:cs="Arial"/>
          <w:w w:val="0"/>
          <w:lang w:val="es-AR"/>
        </w:rPr>
        <w:t>segundo</w:t>
      </w:r>
      <w:r w:rsidR="006B7C12" w:rsidRPr="00672B66">
        <w:rPr>
          <w:rFonts w:ascii="Arial" w:hAnsi="Arial" w:cs="Arial"/>
          <w:w w:val="0"/>
          <w:lang w:val="es-AR"/>
        </w:rPr>
        <w:t xml:space="preserve"> trimestre 2019</w:t>
      </w:r>
      <w:r w:rsidR="005544F0">
        <w:rPr>
          <w:rFonts w:ascii="Arial" w:hAnsi="Arial" w:cs="Arial"/>
          <w:w w:val="0"/>
          <w:lang w:val="es-AR"/>
        </w:rPr>
        <w:t xml:space="preserve"> alcanzaron los </w:t>
      </w:r>
      <w:proofErr w:type="spellStart"/>
      <w:r w:rsidR="005544F0">
        <w:rPr>
          <w:rFonts w:ascii="Arial" w:hAnsi="Arial" w:cs="Arial"/>
          <w:w w:val="0"/>
          <w:lang w:val="es-AR"/>
        </w:rPr>
        <w:t>Ps</w:t>
      </w:r>
      <w:proofErr w:type="spellEnd"/>
      <w:r w:rsidR="005544F0">
        <w:rPr>
          <w:rFonts w:ascii="Arial" w:hAnsi="Arial" w:cs="Arial"/>
          <w:w w:val="0"/>
          <w:lang w:val="es-AR"/>
        </w:rPr>
        <w:t xml:space="preserve"> 7,6</w:t>
      </w:r>
      <w:r w:rsidRPr="00672B66">
        <w:rPr>
          <w:rFonts w:ascii="Arial" w:hAnsi="Arial" w:cs="Arial"/>
          <w:w w:val="0"/>
          <w:lang w:val="es-AR"/>
        </w:rPr>
        <w:t xml:space="preserve"> MM, re</w:t>
      </w:r>
      <w:r w:rsidR="005544F0">
        <w:rPr>
          <w:rFonts w:ascii="Arial" w:hAnsi="Arial" w:cs="Arial"/>
          <w:w w:val="0"/>
          <w:lang w:val="es-AR"/>
        </w:rPr>
        <w:t xml:space="preserve">portando un incremento de </w:t>
      </w:r>
      <w:proofErr w:type="spellStart"/>
      <w:r w:rsidR="005544F0">
        <w:rPr>
          <w:rFonts w:ascii="Arial" w:hAnsi="Arial" w:cs="Arial"/>
          <w:w w:val="0"/>
          <w:lang w:val="es-AR"/>
        </w:rPr>
        <w:t>Ps</w:t>
      </w:r>
      <w:proofErr w:type="spellEnd"/>
      <w:r w:rsidR="005544F0">
        <w:rPr>
          <w:rFonts w:ascii="Arial" w:hAnsi="Arial" w:cs="Arial"/>
          <w:w w:val="0"/>
          <w:lang w:val="es-AR"/>
        </w:rPr>
        <w:t xml:space="preserve"> 2,3</w:t>
      </w:r>
      <w:r w:rsidRPr="00672B66">
        <w:rPr>
          <w:rFonts w:ascii="Arial" w:hAnsi="Arial" w:cs="Arial"/>
          <w:w w:val="0"/>
          <w:lang w:val="es-AR"/>
        </w:rPr>
        <w:t xml:space="preserve"> MM</w:t>
      </w:r>
      <w:r w:rsidR="005544F0">
        <w:rPr>
          <w:rFonts w:ascii="Arial" w:hAnsi="Arial" w:cs="Arial"/>
          <w:w w:val="0"/>
          <w:lang w:val="es-AR"/>
        </w:rPr>
        <w:t>, o 43,2</w:t>
      </w:r>
      <w:r w:rsidRPr="00672B66">
        <w:rPr>
          <w:rFonts w:ascii="Arial" w:hAnsi="Arial" w:cs="Arial"/>
          <w:w w:val="0"/>
          <w:lang w:val="es-AR"/>
        </w:rPr>
        <w:t xml:space="preserve">%, </w:t>
      </w:r>
      <w:r w:rsidR="00A62DDE" w:rsidRPr="00672B66">
        <w:rPr>
          <w:rFonts w:ascii="Arial" w:hAnsi="Arial" w:cs="Arial"/>
          <w:w w:val="0"/>
          <w:lang w:val="es-AR"/>
        </w:rPr>
        <w:t>debido principalmente a un aume</w:t>
      </w:r>
      <w:r w:rsidR="005544F0">
        <w:rPr>
          <w:rFonts w:ascii="Arial" w:hAnsi="Arial" w:cs="Arial"/>
          <w:w w:val="0"/>
          <w:lang w:val="es-AR"/>
        </w:rPr>
        <w:t>nto de un 60,4</w:t>
      </w:r>
      <w:r w:rsidR="00A62DDE" w:rsidRPr="00672B66">
        <w:rPr>
          <w:rFonts w:ascii="Arial" w:hAnsi="Arial" w:cs="Arial"/>
          <w:w w:val="0"/>
          <w:lang w:val="es-AR"/>
        </w:rPr>
        <w:t>%</w:t>
      </w:r>
      <w:r w:rsidR="002E5F65">
        <w:rPr>
          <w:rFonts w:ascii="Arial" w:hAnsi="Arial" w:cs="Arial"/>
          <w:w w:val="0"/>
          <w:lang w:val="es-AR"/>
        </w:rPr>
        <w:t xml:space="preserve"> en el precio del FAME y un 44,2</w:t>
      </w:r>
      <w:r w:rsidR="00A62DDE" w:rsidRPr="00672B66">
        <w:rPr>
          <w:rFonts w:ascii="Arial" w:hAnsi="Arial" w:cs="Arial"/>
          <w:w w:val="0"/>
          <w:lang w:val="es-AR"/>
        </w:rPr>
        <w:t>% en el p</w:t>
      </w:r>
      <w:r w:rsidR="00F34F06">
        <w:rPr>
          <w:rFonts w:ascii="Arial" w:hAnsi="Arial" w:cs="Arial"/>
          <w:w w:val="0"/>
          <w:lang w:val="es-AR"/>
        </w:rPr>
        <w:t>recio del bioetanol</w:t>
      </w:r>
      <w:r w:rsidR="005544F0">
        <w:rPr>
          <w:rFonts w:ascii="Arial" w:hAnsi="Arial" w:cs="Arial"/>
          <w:w w:val="0"/>
          <w:lang w:val="es-AR"/>
        </w:rPr>
        <w:t xml:space="preserve">, compensado parcialmente por una disminución </w:t>
      </w:r>
      <w:r w:rsidR="00A62DDE" w:rsidRPr="00672B66">
        <w:rPr>
          <w:rFonts w:ascii="Arial" w:hAnsi="Arial" w:cs="Arial"/>
          <w:w w:val="0"/>
          <w:lang w:val="es-AR"/>
        </w:rPr>
        <w:t>en los volú</w:t>
      </w:r>
      <w:r w:rsidR="005544F0">
        <w:rPr>
          <w:rFonts w:ascii="Arial" w:hAnsi="Arial" w:cs="Arial"/>
          <w:w w:val="0"/>
          <w:lang w:val="es-AR"/>
        </w:rPr>
        <w:t>menes comprados de FAME del 10,8% y de bioetanol del 0,6</w:t>
      </w:r>
      <w:r w:rsidR="00A62DDE" w:rsidRPr="00672B66">
        <w:rPr>
          <w:rFonts w:ascii="Arial" w:hAnsi="Arial" w:cs="Arial"/>
          <w:w w:val="0"/>
          <w:lang w:val="es-AR"/>
        </w:rPr>
        <w:t>%;</w:t>
      </w:r>
    </w:p>
    <w:p w14:paraId="53793C43" w14:textId="110EBEA0" w:rsidR="001F073A" w:rsidRPr="001F073A" w:rsidRDefault="001F073A" w:rsidP="001F073A">
      <w:pPr>
        <w:numPr>
          <w:ilvl w:val="0"/>
          <w:numId w:val="5"/>
        </w:numPr>
        <w:spacing w:after="120" w:line="288" w:lineRule="auto"/>
        <w:ind w:left="993" w:hanging="283"/>
        <w:jc w:val="both"/>
        <w:rPr>
          <w:rFonts w:ascii="Arial" w:hAnsi="Arial" w:cs="Arial"/>
          <w:w w:val="0"/>
          <w:lang w:val="es-AR"/>
        </w:rPr>
      </w:pPr>
      <w:r w:rsidRPr="001F073A">
        <w:rPr>
          <w:rFonts w:ascii="Arial" w:hAnsi="Arial" w:cs="Arial"/>
          <w:w w:val="0"/>
          <w:lang w:val="es-AR"/>
        </w:rPr>
        <w:t xml:space="preserve">Incremento en la recepción de granos por </w:t>
      </w:r>
      <w:proofErr w:type="spellStart"/>
      <w:r>
        <w:rPr>
          <w:rFonts w:ascii="Arial" w:hAnsi="Arial" w:cs="Arial"/>
          <w:w w:val="0"/>
          <w:lang w:val="es-AR"/>
        </w:rPr>
        <w:t>Ps</w:t>
      </w:r>
      <w:proofErr w:type="spellEnd"/>
      <w:r>
        <w:rPr>
          <w:rFonts w:ascii="Arial" w:hAnsi="Arial" w:cs="Arial"/>
          <w:w w:val="0"/>
          <w:lang w:val="es-AR"/>
        </w:rPr>
        <w:t xml:space="preserve"> 3,0 MM, </w:t>
      </w:r>
      <w:r w:rsidRPr="001F073A">
        <w:rPr>
          <w:rFonts w:ascii="Arial" w:hAnsi="Arial" w:cs="Arial"/>
          <w:w w:val="0"/>
          <w:lang w:val="es-AR"/>
        </w:rPr>
        <w:t xml:space="preserve">o 107,4%, a través de la modalidad de canje en el segmento de ventas al Agro, que contablemente se registran como compras. Dicho incremento es debido a un aumento de 41,4% en el precio promedio y del 46,6% </w:t>
      </w:r>
      <w:r>
        <w:rPr>
          <w:rFonts w:ascii="Arial" w:hAnsi="Arial" w:cs="Arial"/>
          <w:w w:val="0"/>
          <w:lang w:val="es-AR"/>
        </w:rPr>
        <w:t xml:space="preserve">en los volúmenes </w:t>
      </w:r>
      <w:proofErr w:type="spellStart"/>
      <w:r>
        <w:rPr>
          <w:rFonts w:ascii="Arial" w:hAnsi="Arial" w:cs="Arial"/>
          <w:w w:val="0"/>
          <w:lang w:val="es-AR"/>
        </w:rPr>
        <w:t>recepcionados</w:t>
      </w:r>
      <w:proofErr w:type="spellEnd"/>
      <w:r>
        <w:rPr>
          <w:rFonts w:ascii="Arial" w:hAnsi="Arial" w:cs="Arial"/>
          <w:w w:val="0"/>
          <w:lang w:val="es-AR"/>
        </w:rPr>
        <w:t>;</w:t>
      </w:r>
    </w:p>
    <w:p w14:paraId="5C8ABE04" w14:textId="795946E4" w:rsidR="00444557" w:rsidRPr="0020157B" w:rsidRDefault="00444557" w:rsidP="0020157B">
      <w:pPr>
        <w:numPr>
          <w:ilvl w:val="0"/>
          <w:numId w:val="5"/>
        </w:numPr>
        <w:spacing w:after="120" w:line="288" w:lineRule="auto"/>
        <w:ind w:left="993" w:hanging="283"/>
        <w:jc w:val="both"/>
        <w:rPr>
          <w:rFonts w:ascii="Arial" w:hAnsi="Arial" w:cs="Arial"/>
          <w:w w:val="0"/>
          <w:lang w:val="es-AR"/>
        </w:rPr>
      </w:pPr>
      <w:bookmarkStart w:id="81" w:name="_Hlk2177219"/>
      <w:bookmarkEnd w:id="80"/>
      <w:r w:rsidRPr="00672B66">
        <w:rPr>
          <w:rFonts w:ascii="Arial" w:hAnsi="Arial" w:cs="Arial"/>
          <w:w w:val="0"/>
          <w:lang w:val="es-AR"/>
        </w:rPr>
        <w:t xml:space="preserve">En el </w:t>
      </w:r>
      <w:r w:rsidR="006B6A29">
        <w:rPr>
          <w:rFonts w:ascii="Arial" w:hAnsi="Arial" w:cs="Arial"/>
          <w:w w:val="0"/>
          <w:lang w:val="es-AR"/>
        </w:rPr>
        <w:t>segundo</w:t>
      </w:r>
      <w:r w:rsidRPr="00672B66">
        <w:rPr>
          <w:rFonts w:ascii="Arial" w:hAnsi="Arial" w:cs="Arial"/>
          <w:w w:val="0"/>
          <w:lang w:val="es-AR"/>
        </w:rPr>
        <w:t xml:space="preserve"> trimestre de 2019 se registró en este segmento una variación de existencia </w:t>
      </w:r>
      <w:r w:rsidR="002F308B">
        <w:rPr>
          <w:rFonts w:ascii="Arial" w:hAnsi="Arial" w:cs="Arial"/>
          <w:w w:val="0"/>
          <w:lang w:val="es-AR"/>
        </w:rPr>
        <w:t>positiva</w:t>
      </w:r>
      <w:r w:rsidR="005544F0">
        <w:rPr>
          <w:rFonts w:ascii="Arial" w:hAnsi="Arial" w:cs="Arial"/>
          <w:w w:val="0"/>
          <w:lang w:val="es-AR"/>
        </w:rPr>
        <w:t xml:space="preserve"> por </w:t>
      </w:r>
      <w:proofErr w:type="spellStart"/>
      <w:r w:rsidR="005544F0">
        <w:rPr>
          <w:rFonts w:ascii="Arial" w:hAnsi="Arial" w:cs="Arial"/>
          <w:w w:val="0"/>
          <w:lang w:val="es-AR"/>
        </w:rPr>
        <w:t>Ps</w:t>
      </w:r>
      <w:proofErr w:type="spellEnd"/>
      <w:r w:rsidR="005544F0">
        <w:rPr>
          <w:rFonts w:ascii="Arial" w:hAnsi="Arial" w:cs="Arial"/>
          <w:w w:val="0"/>
          <w:lang w:val="es-AR"/>
        </w:rPr>
        <w:t xml:space="preserve"> 2</w:t>
      </w:r>
      <w:r w:rsidR="002F308B">
        <w:rPr>
          <w:rFonts w:ascii="Arial" w:hAnsi="Arial" w:cs="Arial"/>
          <w:w w:val="0"/>
          <w:lang w:val="es-AR"/>
        </w:rPr>
        <w:t>,0</w:t>
      </w:r>
      <w:r w:rsidRPr="00672B66">
        <w:rPr>
          <w:rFonts w:ascii="Arial" w:hAnsi="Arial" w:cs="Arial"/>
          <w:w w:val="0"/>
          <w:lang w:val="es-AR"/>
        </w:rPr>
        <w:t xml:space="preserve"> MM, en comparación con la variación de existencia </w:t>
      </w:r>
      <w:r w:rsidR="002F308B">
        <w:rPr>
          <w:rFonts w:ascii="Arial" w:hAnsi="Arial" w:cs="Arial"/>
          <w:w w:val="0"/>
          <w:lang w:val="es-AR"/>
        </w:rPr>
        <w:t>negativa</w:t>
      </w:r>
      <w:r w:rsidRPr="00672B66">
        <w:rPr>
          <w:rFonts w:ascii="Arial" w:hAnsi="Arial" w:cs="Arial"/>
          <w:w w:val="0"/>
          <w:lang w:val="es-AR"/>
        </w:rPr>
        <w:t xml:space="preserve"> registrada en el </w:t>
      </w:r>
      <w:r w:rsidR="006B6A29">
        <w:rPr>
          <w:rFonts w:ascii="Arial" w:hAnsi="Arial" w:cs="Arial"/>
          <w:w w:val="0"/>
          <w:lang w:val="es-AR"/>
        </w:rPr>
        <w:t xml:space="preserve">segundo </w:t>
      </w:r>
      <w:r w:rsidR="002F308B">
        <w:rPr>
          <w:rFonts w:ascii="Arial" w:hAnsi="Arial" w:cs="Arial"/>
          <w:w w:val="0"/>
          <w:lang w:val="es-AR"/>
        </w:rPr>
        <w:t xml:space="preserve">trimestre de 2018 de </w:t>
      </w:r>
      <w:proofErr w:type="spellStart"/>
      <w:r w:rsidR="002F308B">
        <w:rPr>
          <w:rFonts w:ascii="Arial" w:hAnsi="Arial" w:cs="Arial"/>
          <w:w w:val="0"/>
          <w:lang w:val="es-AR"/>
        </w:rPr>
        <w:t>Ps</w:t>
      </w:r>
      <w:proofErr w:type="spellEnd"/>
      <w:r w:rsidR="002F308B">
        <w:rPr>
          <w:rFonts w:ascii="Arial" w:hAnsi="Arial" w:cs="Arial"/>
          <w:w w:val="0"/>
          <w:lang w:val="es-AR"/>
        </w:rPr>
        <w:t xml:space="preserve"> 0,4</w:t>
      </w:r>
      <w:r w:rsidR="005544F0">
        <w:rPr>
          <w:rFonts w:ascii="Arial" w:hAnsi="Arial" w:cs="Arial"/>
          <w:w w:val="0"/>
          <w:lang w:val="es-AR"/>
        </w:rPr>
        <w:t xml:space="preserve"> MM</w:t>
      </w:r>
      <w:r w:rsidRPr="00672B66">
        <w:rPr>
          <w:rFonts w:ascii="Arial" w:hAnsi="Arial" w:cs="Arial"/>
          <w:w w:val="0"/>
          <w:lang w:val="es-AR"/>
        </w:rPr>
        <w:t xml:space="preserve">, </w:t>
      </w:r>
      <w:r w:rsidR="0020157B" w:rsidRPr="0020157B">
        <w:rPr>
          <w:rFonts w:ascii="Arial" w:hAnsi="Arial" w:cs="Arial"/>
          <w:w w:val="0"/>
          <w:lang w:val="es-AR"/>
        </w:rPr>
        <w:t>principalmente como consecuencia del aumento en el precio de crudo en el segundo trimestre 2019 (valorizado a precio de transferencia);</w:t>
      </w:r>
    </w:p>
    <w:p w14:paraId="4E328C6C" w14:textId="3E1F39A9" w:rsidR="001F073A" w:rsidRPr="001F073A" w:rsidRDefault="006F39BE" w:rsidP="001F073A">
      <w:pPr>
        <w:numPr>
          <w:ilvl w:val="0"/>
          <w:numId w:val="5"/>
        </w:numPr>
        <w:spacing w:after="120" w:line="288" w:lineRule="auto"/>
        <w:ind w:left="993" w:hanging="283"/>
        <w:jc w:val="both"/>
        <w:rPr>
          <w:rFonts w:ascii="Arial" w:hAnsi="Arial" w:cs="Arial"/>
          <w:w w:val="0"/>
          <w:lang w:val="es-AR"/>
        </w:rPr>
      </w:pPr>
      <w:bookmarkStart w:id="82" w:name="_Hlk2177447"/>
      <w:bookmarkEnd w:id="81"/>
      <w:proofErr w:type="gramStart"/>
      <w:r>
        <w:rPr>
          <w:rFonts w:ascii="Arial" w:hAnsi="Arial" w:cs="Arial"/>
          <w:w w:val="0"/>
          <w:lang w:val="es-AR"/>
        </w:rPr>
        <w:t>En relación a</w:t>
      </w:r>
      <w:proofErr w:type="gramEnd"/>
      <w:r>
        <w:rPr>
          <w:rFonts w:ascii="Arial" w:hAnsi="Arial" w:cs="Arial"/>
          <w:w w:val="0"/>
          <w:lang w:val="es-AR"/>
        </w:rPr>
        <w:t xml:space="preserve"> los costos de producción, los costos</w:t>
      </w:r>
      <w:bookmarkStart w:id="83" w:name="_Hlk2177572"/>
      <w:bookmarkEnd w:id="82"/>
      <w:r w:rsidR="004A0037" w:rsidRPr="00FB1D40">
        <w:rPr>
          <w:rFonts w:ascii="Arial" w:hAnsi="Arial" w:cs="Arial"/>
          <w:w w:val="0"/>
          <w:lang w:val="es-AR"/>
        </w:rPr>
        <w:t xml:space="preserve"> de refinación del </w:t>
      </w:r>
      <w:r w:rsidR="006B6A29">
        <w:rPr>
          <w:rFonts w:ascii="Arial" w:hAnsi="Arial" w:cs="Arial"/>
          <w:w w:val="0"/>
          <w:lang w:val="es-AR"/>
        </w:rPr>
        <w:t>segundo</w:t>
      </w:r>
      <w:r w:rsidR="004A0037" w:rsidRPr="00FB1D40">
        <w:rPr>
          <w:rFonts w:ascii="Arial" w:hAnsi="Arial" w:cs="Arial"/>
          <w:w w:val="0"/>
          <w:lang w:val="es-AR"/>
        </w:rPr>
        <w:t xml:space="preserve"> t</w:t>
      </w:r>
      <w:r w:rsidR="00416388">
        <w:rPr>
          <w:rFonts w:ascii="Arial" w:hAnsi="Arial" w:cs="Arial"/>
          <w:w w:val="0"/>
          <w:lang w:val="es-AR"/>
        </w:rPr>
        <w:t xml:space="preserve">rimestre 2019 totalizaron </w:t>
      </w:r>
      <w:proofErr w:type="spellStart"/>
      <w:r w:rsidR="00416388">
        <w:rPr>
          <w:rFonts w:ascii="Arial" w:hAnsi="Arial" w:cs="Arial"/>
          <w:w w:val="0"/>
          <w:lang w:val="es-AR"/>
        </w:rPr>
        <w:t>Ps</w:t>
      </w:r>
      <w:proofErr w:type="spellEnd"/>
      <w:r w:rsidR="00416388">
        <w:rPr>
          <w:rFonts w:ascii="Arial" w:hAnsi="Arial" w:cs="Arial"/>
          <w:w w:val="0"/>
          <w:lang w:val="es-AR"/>
        </w:rPr>
        <w:t xml:space="preserve"> </w:t>
      </w:r>
      <w:r w:rsidR="00E23861">
        <w:rPr>
          <w:rFonts w:ascii="Arial" w:hAnsi="Arial" w:cs="Arial"/>
          <w:w w:val="0"/>
          <w:lang w:val="es-AR"/>
        </w:rPr>
        <w:t>5,7</w:t>
      </w:r>
      <w:r w:rsidR="004A0037" w:rsidRPr="00FB1D40">
        <w:rPr>
          <w:rFonts w:ascii="Arial" w:hAnsi="Arial" w:cs="Arial"/>
          <w:w w:val="0"/>
          <w:lang w:val="es-AR"/>
        </w:rPr>
        <w:t xml:space="preserve"> MM, siendo su</w:t>
      </w:r>
      <w:r w:rsidR="00416388">
        <w:rPr>
          <w:rFonts w:ascii="Arial" w:hAnsi="Arial" w:cs="Arial"/>
          <w:w w:val="0"/>
          <w:lang w:val="es-AR"/>
        </w:rPr>
        <w:t xml:space="preserve">periores a los </w:t>
      </w:r>
      <w:proofErr w:type="spellStart"/>
      <w:r w:rsidR="00416388">
        <w:rPr>
          <w:rFonts w:ascii="Arial" w:hAnsi="Arial" w:cs="Arial"/>
          <w:w w:val="0"/>
          <w:lang w:val="es-AR"/>
        </w:rPr>
        <w:t>Ps</w:t>
      </w:r>
      <w:proofErr w:type="spellEnd"/>
      <w:r w:rsidR="00416388">
        <w:rPr>
          <w:rFonts w:ascii="Arial" w:hAnsi="Arial" w:cs="Arial"/>
          <w:w w:val="0"/>
          <w:lang w:val="es-AR"/>
        </w:rPr>
        <w:t xml:space="preserve"> </w:t>
      </w:r>
      <w:r w:rsidR="00E23861">
        <w:rPr>
          <w:rFonts w:ascii="Arial" w:hAnsi="Arial" w:cs="Arial"/>
          <w:w w:val="0"/>
          <w:lang w:val="es-AR"/>
        </w:rPr>
        <w:t>2,9</w:t>
      </w:r>
      <w:r w:rsidR="004A0037" w:rsidRPr="00FB1D40">
        <w:rPr>
          <w:rFonts w:ascii="Arial" w:hAnsi="Arial" w:cs="Arial"/>
          <w:w w:val="0"/>
          <w:lang w:val="es-AR"/>
        </w:rPr>
        <w:t xml:space="preserve"> MM del </w:t>
      </w:r>
      <w:r w:rsidR="006B6A29">
        <w:rPr>
          <w:rFonts w:ascii="Arial" w:hAnsi="Arial" w:cs="Arial"/>
          <w:w w:val="0"/>
          <w:lang w:val="es-AR"/>
        </w:rPr>
        <w:t xml:space="preserve">segundo </w:t>
      </w:r>
      <w:r w:rsidR="004A0037" w:rsidRPr="00FB1D40">
        <w:rPr>
          <w:rFonts w:ascii="Arial" w:hAnsi="Arial" w:cs="Arial"/>
          <w:w w:val="0"/>
          <w:lang w:val="es-AR"/>
        </w:rPr>
        <w:t>trimes</w:t>
      </w:r>
      <w:r w:rsidR="00416388">
        <w:rPr>
          <w:rFonts w:ascii="Arial" w:hAnsi="Arial" w:cs="Arial"/>
          <w:w w:val="0"/>
          <w:lang w:val="es-AR"/>
        </w:rPr>
        <w:t xml:space="preserve">tre 2018 en aproximadamente </w:t>
      </w:r>
      <w:proofErr w:type="spellStart"/>
      <w:r w:rsidR="00416388">
        <w:rPr>
          <w:rFonts w:ascii="Arial" w:hAnsi="Arial" w:cs="Arial"/>
          <w:w w:val="0"/>
          <w:lang w:val="es-AR"/>
        </w:rPr>
        <w:t>Ps</w:t>
      </w:r>
      <w:proofErr w:type="spellEnd"/>
      <w:r w:rsidR="00416388">
        <w:rPr>
          <w:rFonts w:ascii="Arial" w:hAnsi="Arial" w:cs="Arial"/>
          <w:w w:val="0"/>
          <w:lang w:val="es-AR"/>
        </w:rPr>
        <w:t xml:space="preserve"> </w:t>
      </w:r>
      <w:r w:rsidR="00515AD1">
        <w:rPr>
          <w:rFonts w:ascii="Arial" w:hAnsi="Arial" w:cs="Arial"/>
          <w:w w:val="0"/>
          <w:lang w:val="es-AR"/>
        </w:rPr>
        <w:t>2,8</w:t>
      </w:r>
      <w:r w:rsidR="00416388">
        <w:rPr>
          <w:rFonts w:ascii="Arial" w:hAnsi="Arial" w:cs="Arial"/>
          <w:w w:val="0"/>
          <w:lang w:val="es-AR"/>
        </w:rPr>
        <w:t xml:space="preserve"> MM, o </w:t>
      </w:r>
      <w:r w:rsidR="00E23861">
        <w:rPr>
          <w:rFonts w:ascii="Arial" w:hAnsi="Arial" w:cs="Arial"/>
          <w:w w:val="0"/>
          <w:lang w:val="es-AR"/>
        </w:rPr>
        <w:t>99,0</w:t>
      </w:r>
      <w:r w:rsidR="004A0037" w:rsidRPr="00FB1D40">
        <w:rPr>
          <w:rFonts w:ascii="Arial" w:hAnsi="Arial" w:cs="Arial"/>
          <w:w w:val="0"/>
          <w:lang w:val="es-AR"/>
        </w:rPr>
        <w:t xml:space="preserve">%. </w:t>
      </w:r>
      <w:r w:rsidR="004A0037" w:rsidRPr="001F073A">
        <w:rPr>
          <w:rFonts w:ascii="Arial" w:hAnsi="Arial" w:cs="Arial"/>
          <w:w w:val="0"/>
          <w:lang w:val="es-AR"/>
        </w:rPr>
        <w:t xml:space="preserve">Dichos incrementos están fundamentalmente motivados </w:t>
      </w:r>
      <w:r w:rsidR="001F073A" w:rsidRPr="001F073A">
        <w:rPr>
          <w:rFonts w:ascii="Arial" w:hAnsi="Arial" w:cs="Arial"/>
          <w:w w:val="0"/>
          <w:lang w:val="es-AR"/>
        </w:rPr>
        <w:t>por los mayores cargos por consumo de materiales, repuestos y otros suministros y mayores cargos en reparaciones y mantenimiento. Como consecuencia de esto, y considerando asimismo que el nivel de procesamiento en refinerías fue un 4,4% inferior, el costo de refinación unitario aumentó en el segundo trimestre de 2019 en un 108,2% en comparació</w:t>
      </w:r>
      <w:r w:rsidR="00280F3D">
        <w:rPr>
          <w:rFonts w:ascii="Arial" w:hAnsi="Arial" w:cs="Arial"/>
          <w:w w:val="0"/>
          <w:lang w:val="es-AR"/>
        </w:rPr>
        <w:t>n con el mismo período de 2018;</w:t>
      </w:r>
    </w:p>
    <w:p w14:paraId="7A79B8DF" w14:textId="5DAB6559" w:rsidR="001F073A" w:rsidRPr="001F073A" w:rsidRDefault="004A0037" w:rsidP="001F073A">
      <w:pPr>
        <w:numPr>
          <w:ilvl w:val="0"/>
          <w:numId w:val="5"/>
        </w:numPr>
        <w:spacing w:after="120" w:line="288" w:lineRule="auto"/>
        <w:ind w:left="993" w:hanging="283"/>
        <w:jc w:val="both"/>
        <w:rPr>
          <w:rFonts w:ascii="Arial" w:hAnsi="Arial" w:cs="Arial"/>
          <w:lang w:val="es-AR"/>
        </w:rPr>
      </w:pPr>
      <w:r>
        <w:rPr>
          <w:rFonts w:ascii="Arial" w:hAnsi="Arial" w:cs="Arial"/>
          <w:w w:val="0"/>
          <w:lang w:val="es-AR"/>
        </w:rPr>
        <w:t>L</w:t>
      </w:r>
      <w:r w:rsidR="006312C8" w:rsidRPr="00672B66">
        <w:rPr>
          <w:rFonts w:ascii="Arial" w:hAnsi="Arial" w:cs="Arial"/>
          <w:w w:val="0"/>
          <w:lang w:val="es-AR"/>
        </w:rPr>
        <w:t xml:space="preserve">as depreciaciones de propiedades, planta y equipo correspondientes al proceso productivo </w:t>
      </w:r>
      <w:r w:rsidR="008556A6" w:rsidRPr="00672B66">
        <w:rPr>
          <w:rFonts w:ascii="Arial" w:hAnsi="Arial" w:cs="Arial"/>
          <w:w w:val="0"/>
          <w:lang w:val="es-AR"/>
        </w:rPr>
        <w:t xml:space="preserve">del </w:t>
      </w:r>
      <w:r w:rsidR="006B6A29">
        <w:rPr>
          <w:rFonts w:ascii="Arial" w:hAnsi="Arial" w:cs="Arial"/>
          <w:w w:val="0"/>
          <w:lang w:val="es-AR"/>
        </w:rPr>
        <w:t>segundo</w:t>
      </w:r>
      <w:r w:rsidR="000D5131" w:rsidRPr="00672B66">
        <w:rPr>
          <w:rFonts w:ascii="Arial" w:hAnsi="Arial" w:cs="Arial"/>
          <w:w w:val="0"/>
          <w:lang w:val="es-AR"/>
        </w:rPr>
        <w:t xml:space="preserve"> trimestre 2019 </w:t>
      </w:r>
      <w:r w:rsidR="00083DA9" w:rsidRPr="00672B66">
        <w:rPr>
          <w:rFonts w:ascii="Arial" w:hAnsi="Arial" w:cs="Arial"/>
          <w:w w:val="0"/>
          <w:lang w:val="es-AR"/>
        </w:rPr>
        <w:t xml:space="preserve">ascendieron </w:t>
      </w:r>
      <w:r w:rsidR="002F308B">
        <w:rPr>
          <w:rFonts w:ascii="Arial" w:hAnsi="Arial" w:cs="Arial"/>
          <w:w w:val="0"/>
          <w:lang w:val="es-AR"/>
        </w:rPr>
        <w:t xml:space="preserve">a </w:t>
      </w:r>
      <w:proofErr w:type="spellStart"/>
      <w:r w:rsidR="002F308B">
        <w:rPr>
          <w:rFonts w:ascii="Arial" w:hAnsi="Arial" w:cs="Arial"/>
          <w:w w:val="0"/>
          <w:lang w:val="es-AR"/>
        </w:rPr>
        <w:t>Ps</w:t>
      </w:r>
      <w:proofErr w:type="spellEnd"/>
      <w:r w:rsidR="002F308B">
        <w:rPr>
          <w:rFonts w:ascii="Arial" w:hAnsi="Arial" w:cs="Arial"/>
          <w:w w:val="0"/>
          <w:lang w:val="es-AR"/>
        </w:rPr>
        <w:t xml:space="preserve"> 3,9</w:t>
      </w:r>
      <w:r w:rsidR="008556A6" w:rsidRPr="00672B66">
        <w:rPr>
          <w:rFonts w:ascii="Arial" w:hAnsi="Arial" w:cs="Arial"/>
          <w:w w:val="0"/>
          <w:lang w:val="es-AR"/>
        </w:rPr>
        <w:t xml:space="preserve"> MM, reflejando un incremento de </w:t>
      </w:r>
      <w:r w:rsidR="00FE3A03" w:rsidRPr="00672B66">
        <w:rPr>
          <w:rFonts w:ascii="Arial" w:hAnsi="Arial" w:cs="Arial"/>
          <w:w w:val="0"/>
          <w:lang w:val="es-AR"/>
        </w:rPr>
        <w:t xml:space="preserve">aproximadamente </w:t>
      </w:r>
      <w:proofErr w:type="spellStart"/>
      <w:r w:rsidR="00FE3A03" w:rsidRPr="00672B66">
        <w:rPr>
          <w:rFonts w:ascii="Arial" w:hAnsi="Arial" w:cs="Arial"/>
          <w:w w:val="0"/>
          <w:lang w:val="es-AR"/>
        </w:rPr>
        <w:t>Ps</w:t>
      </w:r>
      <w:proofErr w:type="spellEnd"/>
      <w:r w:rsidR="00FE3A03" w:rsidRPr="00672B66">
        <w:rPr>
          <w:rFonts w:ascii="Arial" w:hAnsi="Arial" w:cs="Arial"/>
          <w:w w:val="0"/>
          <w:lang w:val="es-AR"/>
        </w:rPr>
        <w:t xml:space="preserve"> </w:t>
      </w:r>
      <w:r w:rsidR="002F308B">
        <w:rPr>
          <w:rFonts w:ascii="Arial" w:hAnsi="Arial" w:cs="Arial"/>
          <w:w w:val="0"/>
          <w:lang w:val="es-AR"/>
        </w:rPr>
        <w:t>1,7</w:t>
      </w:r>
      <w:r w:rsidR="006312C8" w:rsidRPr="00672B66">
        <w:rPr>
          <w:rFonts w:ascii="Arial" w:hAnsi="Arial" w:cs="Arial"/>
          <w:w w:val="0"/>
          <w:lang w:val="es-AR"/>
        </w:rPr>
        <w:t xml:space="preserve"> MM, o </w:t>
      </w:r>
      <w:r w:rsidR="002F308B">
        <w:rPr>
          <w:rFonts w:ascii="Arial" w:hAnsi="Arial" w:cs="Arial"/>
          <w:w w:val="0"/>
          <w:lang w:val="es-AR"/>
        </w:rPr>
        <w:t>79,3</w:t>
      </w:r>
      <w:r w:rsidR="006312C8" w:rsidRPr="00672B66">
        <w:rPr>
          <w:rFonts w:ascii="Arial" w:hAnsi="Arial" w:cs="Arial"/>
          <w:w w:val="0"/>
          <w:lang w:val="es-AR"/>
        </w:rPr>
        <w:t xml:space="preserve">%, </w:t>
      </w:r>
      <w:r w:rsidR="001F073A" w:rsidRPr="002122A2">
        <w:rPr>
          <w:rFonts w:ascii="Arial" w:hAnsi="Arial" w:cs="Arial"/>
          <w:lang w:val="es-AR"/>
        </w:rPr>
        <w:t xml:space="preserve">motivado por los mayores valores de activos sujetos a depreciación respecto al mismo período del año anterior debido </w:t>
      </w:r>
      <w:r w:rsidR="001F073A" w:rsidRPr="001F073A">
        <w:rPr>
          <w:rFonts w:ascii="Arial" w:hAnsi="Arial" w:cs="Arial"/>
          <w:w w:val="0"/>
          <w:lang w:val="es-AR"/>
        </w:rPr>
        <w:t>a la mayor valuación de los mismos teniendo en cuenta la moneda funcional de la</w:t>
      </w:r>
      <w:r w:rsidR="00280F3D">
        <w:rPr>
          <w:rFonts w:ascii="Arial" w:hAnsi="Arial" w:cs="Arial"/>
          <w:w w:val="0"/>
          <w:lang w:val="es-AR"/>
        </w:rPr>
        <w:t xml:space="preserve"> Compañía;</w:t>
      </w:r>
    </w:p>
    <w:bookmarkEnd w:id="83"/>
    <w:p w14:paraId="03E7A2CE" w14:textId="763ED16E" w:rsidR="008F140D" w:rsidRPr="00672B66" w:rsidRDefault="008F140D" w:rsidP="00485C1E">
      <w:pPr>
        <w:numPr>
          <w:ilvl w:val="0"/>
          <w:numId w:val="5"/>
        </w:numPr>
        <w:spacing w:after="120" w:line="288" w:lineRule="auto"/>
        <w:ind w:left="993" w:hanging="283"/>
        <w:jc w:val="both"/>
        <w:rPr>
          <w:rFonts w:ascii="Arial" w:hAnsi="Arial" w:cs="Arial"/>
          <w:w w:val="0"/>
          <w:lang w:val="es-AR"/>
        </w:rPr>
      </w:pPr>
      <w:r w:rsidRPr="00672B66">
        <w:rPr>
          <w:rFonts w:ascii="Arial" w:hAnsi="Arial" w:cs="Arial"/>
          <w:w w:val="0"/>
          <w:lang w:val="es-AR"/>
        </w:rPr>
        <w:t>Los costos de transporte vinculados a la producción (naval, oleoductos y poliductos)</w:t>
      </w:r>
      <w:r w:rsidR="000D1E8B" w:rsidRPr="00672B66">
        <w:rPr>
          <w:rFonts w:ascii="Arial" w:hAnsi="Arial" w:cs="Arial"/>
          <w:w w:val="0"/>
          <w:lang w:val="es-AR"/>
        </w:rPr>
        <w:t xml:space="preserve"> </w:t>
      </w:r>
      <w:r w:rsidR="00FE3A03" w:rsidRPr="00672B66">
        <w:rPr>
          <w:rFonts w:ascii="Arial" w:hAnsi="Arial" w:cs="Arial"/>
          <w:w w:val="0"/>
          <w:lang w:val="es-AR"/>
        </w:rPr>
        <w:t xml:space="preserve">correspondientes al </w:t>
      </w:r>
      <w:r w:rsidR="006B6A29">
        <w:rPr>
          <w:rFonts w:ascii="Arial" w:hAnsi="Arial" w:cs="Arial"/>
          <w:w w:val="0"/>
          <w:lang w:val="es-AR"/>
        </w:rPr>
        <w:t>segundo</w:t>
      </w:r>
      <w:r w:rsidR="00FE3A03" w:rsidRPr="00672B66">
        <w:rPr>
          <w:rFonts w:ascii="Arial" w:hAnsi="Arial" w:cs="Arial"/>
          <w:w w:val="0"/>
          <w:lang w:val="es-AR"/>
        </w:rPr>
        <w:t xml:space="preserve"> </w:t>
      </w:r>
      <w:r w:rsidR="000D1E8B" w:rsidRPr="00672B66">
        <w:rPr>
          <w:rFonts w:ascii="Arial" w:hAnsi="Arial" w:cs="Arial"/>
          <w:w w:val="0"/>
          <w:lang w:val="es-AR"/>
        </w:rPr>
        <w:t>tri</w:t>
      </w:r>
      <w:r w:rsidR="00FE3A03" w:rsidRPr="00672B66">
        <w:rPr>
          <w:rFonts w:ascii="Arial" w:hAnsi="Arial" w:cs="Arial"/>
          <w:w w:val="0"/>
          <w:lang w:val="es-AR"/>
        </w:rPr>
        <w:t xml:space="preserve">mestre </w:t>
      </w:r>
      <w:r w:rsidR="00E23861">
        <w:rPr>
          <w:rFonts w:ascii="Arial" w:hAnsi="Arial" w:cs="Arial"/>
          <w:w w:val="0"/>
          <w:lang w:val="es-AR"/>
        </w:rPr>
        <w:t xml:space="preserve">2019 alcanzaron los </w:t>
      </w:r>
      <w:proofErr w:type="spellStart"/>
      <w:r w:rsidR="00E23861">
        <w:rPr>
          <w:rFonts w:ascii="Arial" w:hAnsi="Arial" w:cs="Arial"/>
          <w:w w:val="0"/>
          <w:lang w:val="es-AR"/>
        </w:rPr>
        <w:t>Ps</w:t>
      </w:r>
      <w:proofErr w:type="spellEnd"/>
      <w:r w:rsidR="00E23861">
        <w:rPr>
          <w:rFonts w:ascii="Arial" w:hAnsi="Arial" w:cs="Arial"/>
          <w:w w:val="0"/>
          <w:lang w:val="es-AR"/>
        </w:rPr>
        <w:t xml:space="preserve"> 2,5</w:t>
      </w:r>
      <w:r w:rsidR="000D1E8B" w:rsidRPr="00FB1D40">
        <w:rPr>
          <w:rFonts w:ascii="Arial" w:hAnsi="Arial" w:cs="Arial"/>
          <w:w w:val="0"/>
          <w:lang w:val="es-AR"/>
        </w:rPr>
        <w:t xml:space="preserve"> MM, lo que</w:t>
      </w:r>
      <w:r w:rsidRPr="00FB1D40">
        <w:rPr>
          <w:rFonts w:ascii="Arial" w:hAnsi="Arial" w:cs="Arial"/>
          <w:w w:val="0"/>
          <w:lang w:val="es-AR"/>
        </w:rPr>
        <w:t xml:space="preserve"> </w:t>
      </w:r>
      <w:r w:rsidR="000D1E8B" w:rsidRPr="00FB1D40">
        <w:rPr>
          <w:rFonts w:ascii="Arial" w:hAnsi="Arial" w:cs="Arial"/>
          <w:w w:val="0"/>
          <w:lang w:val="es-AR"/>
        </w:rPr>
        <w:t>re</w:t>
      </w:r>
      <w:r w:rsidR="005951DC">
        <w:rPr>
          <w:rFonts w:ascii="Arial" w:hAnsi="Arial" w:cs="Arial"/>
          <w:w w:val="0"/>
          <w:lang w:val="es-AR"/>
        </w:rPr>
        <w:t xml:space="preserve">presenta un incremento de </w:t>
      </w:r>
      <w:proofErr w:type="spellStart"/>
      <w:r w:rsidR="005951DC">
        <w:rPr>
          <w:rFonts w:ascii="Arial" w:hAnsi="Arial" w:cs="Arial"/>
          <w:w w:val="0"/>
          <w:lang w:val="es-AR"/>
        </w:rPr>
        <w:t>Ps</w:t>
      </w:r>
      <w:proofErr w:type="spellEnd"/>
      <w:r w:rsidR="005951DC">
        <w:rPr>
          <w:rFonts w:ascii="Arial" w:hAnsi="Arial" w:cs="Arial"/>
          <w:w w:val="0"/>
          <w:lang w:val="es-AR"/>
        </w:rPr>
        <w:t xml:space="preserve"> 1,0</w:t>
      </w:r>
      <w:r w:rsidRPr="00FB1D40">
        <w:rPr>
          <w:rFonts w:ascii="Arial" w:hAnsi="Arial" w:cs="Arial"/>
          <w:w w:val="0"/>
          <w:lang w:val="es-AR"/>
        </w:rPr>
        <w:t xml:space="preserve"> MM, </w:t>
      </w:r>
      <w:r w:rsidR="000D1E8B" w:rsidRPr="00FB1D40">
        <w:rPr>
          <w:rFonts w:ascii="Arial" w:hAnsi="Arial" w:cs="Arial"/>
          <w:w w:val="0"/>
          <w:lang w:val="es-AR"/>
        </w:rPr>
        <w:t>o</w:t>
      </w:r>
      <w:r w:rsidR="00E23861">
        <w:rPr>
          <w:rFonts w:ascii="Arial" w:hAnsi="Arial" w:cs="Arial"/>
          <w:w w:val="0"/>
          <w:lang w:val="es-AR"/>
        </w:rPr>
        <w:t xml:space="preserve"> 71,9</w:t>
      </w:r>
      <w:r w:rsidRPr="00FB1D40">
        <w:rPr>
          <w:rFonts w:ascii="Arial" w:hAnsi="Arial" w:cs="Arial"/>
          <w:w w:val="0"/>
          <w:lang w:val="es-AR"/>
        </w:rPr>
        <w:t>%</w:t>
      </w:r>
      <w:r w:rsidR="00E23861">
        <w:rPr>
          <w:rFonts w:ascii="Arial" w:hAnsi="Arial" w:cs="Arial"/>
          <w:w w:val="0"/>
          <w:lang w:val="es-AR"/>
        </w:rPr>
        <w:t xml:space="preserve"> frente a los </w:t>
      </w:r>
      <w:proofErr w:type="spellStart"/>
      <w:r w:rsidR="00E23861">
        <w:rPr>
          <w:rFonts w:ascii="Arial" w:hAnsi="Arial" w:cs="Arial"/>
          <w:w w:val="0"/>
          <w:lang w:val="es-AR"/>
        </w:rPr>
        <w:t>Ps</w:t>
      </w:r>
      <w:proofErr w:type="spellEnd"/>
      <w:r w:rsidR="00E23861">
        <w:rPr>
          <w:rFonts w:ascii="Arial" w:hAnsi="Arial" w:cs="Arial"/>
          <w:w w:val="0"/>
          <w:lang w:val="es-AR"/>
        </w:rPr>
        <w:t xml:space="preserve"> 1,5</w:t>
      </w:r>
      <w:r w:rsidR="00EB1560" w:rsidRPr="00FB1D40">
        <w:rPr>
          <w:rFonts w:ascii="Arial" w:hAnsi="Arial" w:cs="Arial"/>
          <w:w w:val="0"/>
          <w:lang w:val="es-AR"/>
        </w:rPr>
        <w:t xml:space="preserve"> MM </w:t>
      </w:r>
      <w:r w:rsidR="00FE3A03" w:rsidRPr="00FB1D40">
        <w:rPr>
          <w:rFonts w:ascii="Arial" w:hAnsi="Arial" w:cs="Arial"/>
          <w:w w:val="0"/>
          <w:lang w:val="es-AR"/>
        </w:rPr>
        <w:t xml:space="preserve">del </w:t>
      </w:r>
      <w:r w:rsidR="006B6A29">
        <w:rPr>
          <w:rFonts w:ascii="Arial" w:hAnsi="Arial" w:cs="Arial"/>
          <w:w w:val="0"/>
          <w:lang w:val="es-AR"/>
        </w:rPr>
        <w:t>segundo</w:t>
      </w:r>
      <w:r w:rsidR="00FE3A03" w:rsidRPr="00FB1D40">
        <w:rPr>
          <w:rFonts w:ascii="Arial" w:hAnsi="Arial" w:cs="Arial"/>
          <w:w w:val="0"/>
          <w:lang w:val="es-AR"/>
        </w:rPr>
        <w:t xml:space="preserve"> trimestre 2018</w:t>
      </w:r>
      <w:r w:rsidR="00FB1D40" w:rsidRPr="00FB1D40">
        <w:rPr>
          <w:rFonts w:ascii="Arial" w:hAnsi="Arial" w:cs="Arial"/>
          <w:w w:val="0"/>
          <w:lang w:val="es-AR"/>
        </w:rPr>
        <w:t xml:space="preserve"> </w:t>
      </w:r>
      <w:r w:rsidR="00FB1D40" w:rsidRPr="0058416B">
        <w:rPr>
          <w:rFonts w:ascii="Arial" w:hAnsi="Arial" w:cs="Arial"/>
          <w:lang w:val="es-AR"/>
        </w:rPr>
        <w:t>debido a un aumento de las tarifas en pesos</w:t>
      </w:r>
      <w:r w:rsidR="001A0392">
        <w:rPr>
          <w:rFonts w:ascii="Arial" w:hAnsi="Arial" w:cs="Arial"/>
          <w:w w:val="0"/>
          <w:lang w:val="es-AR"/>
        </w:rPr>
        <w:t>.</w:t>
      </w:r>
    </w:p>
    <w:p w14:paraId="2305B756" w14:textId="77777777" w:rsidR="00D748B0" w:rsidRDefault="00D748B0" w:rsidP="00FE3A03">
      <w:pPr>
        <w:pStyle w:val="BodyText"/>
        <w:spacing w:line="288" w:lineRule="auto"/>
        <w:jc w:val="both"/>
        <w:rPr>
          <w:rFonts w:ascii="Arial" w:hAnsi="Arial" w:cs="Arial"/>
          <w:w w:val="0"/>
          <w:lang w:val="es-AR"/>
        </w:rPr>
      </w:pPr>
    </w:p>
    <w:p w14:paraId="186EFCF3" w14:textId="4A1FBF83" w:rsidR="00A129FB" w:rsidRPr="006E4BFA" w:rsidRDefault="00C67E01" w:rsidP="006E4BFA">
      <w:pPr>
        <w:pStyle w:val="BodyText"/>
        <w:spacing w:before="120" w:line="288" w:lineRule="auto"/>
        <w:jc w:val="both"/>
        <w:rPr>
          <w:rFonts w:ascii="Arial" w:hAnsi="Arial" w:cs="Arial"/>
          <w:spacing w:val="-3"/>
          <w:lang w:val="es-AR"/>
        </w:rPr>
      </w:pPr>
      <w:r w:rsidRPr="006E4BFA">
        <w:rPr>
          <w:rFonts w:ascii="Arial" w:hAnsi="Arial" w:cs="Arial"/>
          <w:spacing w:val="-3"/>
          <w:lang w:val="es-AR"/>
        </w:rPr>
        <w:t>Los</w:t>
      </w:r>
      <w:r w:rsidR="00754B14" w:rsidRPr="006E4BFA">
        <w:rPr>
          <w:rFonts w:ascii="Arial" w:hAnsi="Arial" w:cs="Arial"/>
          <w:spacing w:val="-3"/>
          <w:lang w:val="es-AR"/>
        </w:rPr>
        <w:t xml:space="preserve"> gastos de comercialización </w:t>
      </w:r>
      <w:r w:rsidRPr="006E4BFA">
        <w:rPr>
          <w:rFonts w:ascii="Arial" w:hAnsi="Arial" w:cs="Arial"/>
          <w:spacing w:val="-3"/>
          <w:lang w:val="es-AR"/>
        </w:rPr>
        <w:t xml:space="preserve">del </w:t>
      </w:r>
      <w:r w:rsidR="006B6A29" w:rsidRPr="006E4BFA">
        <w:rPr>
          <w:rFonts w:ascii="Arial" w:hAnsi="Arial" w:cs="Arial"/>
          <w:spacing w:val="-3"/>
          <w:lang w:val="es-AR"/>
        </w:rPr>
        <w:t>segundo</w:t>
      </w:r>
      <w:r w:rsidRPr="006E4BFA">
        <w:rPr>
          <w:rFonts w:ascii="Arial" w:hAnsi="Arial" w:cs="Arial"/>
          <w:spacing w:val="-3"/>
          <w:lang w:val="es-AR"/>
        </w:rPr>
        <w:t xml:space="preserve"> tr</w:t>
      </w:r>
      <w:r w:rsidR="00385DD5" w:rsidRPr="006E4BFA">
        <w:rPr>
          <w:rFonts w:ascii="Arial" w:hAnsi="Arial" w:cs="Arial"/>
          <w:spacing w:val="-3"/>
          <w:lang w:val="es-AR"/>
        </w:rPr>
        <w:t>imestre 2019</w:t>
      </w:r>
      <w:r w:rsidR="00E23861" w:rsidRPr="006E4BFA">
        <w:rPr>
          <w:rFonts w:ascii="Arial" w:hAnsi="Arial" w:cs="Arial"/>
          <w:spacing w:val="-3"/>
          <w:lang w:val="es-AR"/>
        </w:rPr>
        <w:t xml:space="preserve"> ascendieron a </w:t>
      </w:r>
      <w:proofErr w:type="spellStart"/>
      <w:r w:rsidR="00E23861" w:rsidRPr="006E4BFA">
        <w:rPr>
          <w:rFonts w:ascii="Arial" w:hAnsi="Arial" w:cs="Arial"/>
          <w:spacing w:val="-3"/>
          <w:lang w:val="es-AR"/>
        </w:rPr>
        <w:t>Ps</w:t>
      </w:r>
      <w:proofErr w:type="spellEnd"/>
      <w:r w:rsidR="00E23861" w:rsidRPr="006E4BFA">
        <w:rPr>
          <w:rFonts w:ascii="Arial" w:hAnsi="Arial" w:cs="Arial"/>
          <w:spacing w:val="-3"/>
          <w:lang w:val="es-AR"/>
        </w:rPr>
        <w:t xml:space="preserve"> 10,5</w:t>
      </w:r>
      <w:r w:rsidR="00FE6CA4" w:rsidRPr="006E4BFA">
        <w:rPr>
          <w:rFonts w:ascii="Arial" w:hAnsi="Arial" w:cs="Arial"/>
          <w:spacing w:val="-3"/>
          <w:lang w:val="es-AR"/>
        </w:rPr>
        <w:t xml:space="preserve"> </w:t>
      </w:r>
      <w:r w:rsidRPr="006E4BFA">
        <w:rPr>
          <w:rFonts w:ascii="Arial" w:hAnsi="Arial" w:cs="Arial"/>
          <w:spacing w:val="-3"/>
          <w:lang w:val="es-AR"/>
        </w:rPr>
        <w:t xml:space="preserve">MM, presentando un incremento de </w:t>
      </w:r>
      <w:proofErr w:type="spellStart"/>
      <w:r w:rsidR="00754B14" w:rsidRPr="006E4BFA">
        <w:rPr>
          <w:rFonts w:ascii="Arial" w:hAnsi="Arial" w:cs="Arial"/>
          <w:spacing w:val="-3"/>
          <w:lang w:val="es-AR"/>
        </w:rPr>
        <w:t>Ps</w:t>
      </w:r>
      <w:proofErr w:type="spellEnd"/>
      <w:r w:rsidR="003914BB" w:rsidRPr="006E4BFA">
        <w:rPr>
          <w:rFonts w:ascii="Arial" w:hAnsi="Arial" w:cs="Arial"/>
          <w:spacing w:val="-3"/>
          <w:lang w:val="es-AR"/>
        </w:rPr>
        <w:t xml:space="preserve"> </w:t>
      </w:r>
      <w:r w:rsidR="00E23861" w:rsidRPr="006E4BFA">
        <w:rPr>
          <w:rFonts w:ascii="Arial" w:hAnsi="Arial" w:cs="Arial"/>
          <w:spacing w:val="-3"/>
          <w:lang w:val="es-AR"/>
        </w:rPr>
        <w:t>4,9</w:t>
      </w:r>
      <w:r w:rsidR="00FE6CA4" w:rsidRPr="006E4BFA">
        <w:rPr>
          <w:rFonts w:ascii="Arial" w:hAnsi="Arial" w:cs="Arial"/>
          <w:spacing w:val="-3"/>
          <w:lang w:val="es-AR"/>
        </w:rPr>
        <w:t xml:space="preserve"> </w:t>
      </w:r>
      <w:r w:rsidR="00754B14" w:rsidRPr="006E4BFA">
        <w:rPr>
          <w:rFonts w:ascii="Arial" w:hAnsi="Arial" w:cs="Arial"/>
          <w:spacing w:val="-3"/>
          <w:lang w:val="es-AR"/>
        </w:rPr>
        <w:t>MM</w:t>
      </w:r>
      <w:r w:rsidR="002759D1" w:rsidRPr="006E4BFA">
        <w:rPr>
          <w:rFonts w:ascii="Arial" w:hAnsi="Arial" w:cs="Arial"/>
          <w:spacing w:val="-3"/>
          <w:lang w:val="es-AR"/>
        </w:rPr>
        <w:t xml:space="preserve">, o </w:t>
      </w:r>
      <w:r w:rsidR="00E23861" w:rsidRPr="006E4BFA">
        <w:rPr>
          <w:rFonts w:ascii="Arial" w:hAnsi="Arial" w:cs="Arial"/>
          <w:spacing w:val="-3"/>
          <w:lang w:val="es-AR"/>
        </w:rPr>
        <w:t>88,4</w:t>
      </w:r>
      <w:r w:rsidR="00754B14" w:rsidRPr="006E4BFA">
        <w:rPr>
          <w:rFonts w:ascii="Arial" w:hAnsi="Arial" w:cs="Arial"/>
          <w:spacing w:val="-3"/>
          <w:lang w:val="es-AR"/>
        </w:rPr>
        <w:t>%,</w:t>
      </w:r>
      <w:r w:rsidR="00E23861" w:rsidRPr="006E4BFA">
        <w:rPr>
          <w:rFonts w:ascii="Arial" w:hAnsi="Arial" w:cs="Arial"/>
          <w:spacing w:val="-3"/>
          <w:lang w:val="es-AR"/>
        </w:rPr>
        <w:t xml:space="preserve"> en comparación a los </w:t>
      </w:r>
      <w:proofErr w:type="spellStart"/>
      <w:r w:rsidR="00E23861" w:rsidRPr="006E4BFA">
        <w:rPr>
          <w:rFonts w:ascii="Arial" w:hAnsi="Arial" w:cs="Arial"/>
          <w:spacing w:val="-3"/>
          <w:lang w:val="es-AR"/>
        </w:rPr>
        <w:t>Ps</w:t>
      </w:r>
      <w:proofErr w:type="spellEnd"/>
      <w:r w:rsidR="00E23861" w:rsidRPr="006E4BFA">
        <w:rPr>
          <w:rFonts w:ascii="Arial" w:hAnsi="Arial" w:cs="Arial"/>
          <w:spacing w:val="-3"/>
          <w:lang w:val="es-AR"/>
        </w:rPr>
        <w:t xml:space="preserve"> 5,6</w:t>
      </w:r>
      <w:r w:rsidRPr="006E4BFA">
        <w:rPr>
          <w:rFonts w:ascii="Arial" w:hAnsi="Arial" w:cs="Arial"/>
          <w:spacing w:val="-3"/>
          <w:lang w:val="es-AR"/>
        </w:rPr>
        <w:t xml:space="preserve"> MM del </w:t>
      </w:r>
      <w:r w:rsidR="006B6A29" w:rsidRPr="006E4BFA">
        <w:rPr>
          <w:rFonts w:ascii="Arial" w:hAnsi="Arial" w:cs="Arial"/>
          <w:spacing w:val="-3"/>
          <w:lang w:val="es-AR"/>
        </w:rPr>
        <w:t>segundo</w:t>
      </w:r>
      <w:r w:rsidR="00385DD5" w:rsidRPr="006E4BFA">
        <w:rPr>
          <w:rFonts w:ascii="Arial" w:hAnsi="Arial" w:cs="Arial"/>
          <w:spacing w:val="-3"/>
          <w:lang w:val="es-AR"/>
        </w:rPr>
        <w:t xml:space="preserve"> trimestre 2018</w:t>
      </w:r>
      <w:r w:rsidRPr="006E4BFA">
        <w:rPr>
          <w:rFonts w:ascii="Arial" w:hAnsi="Arial" w:cs="Arial"/>
          <w:spacing w:val="-3"/>
          <w:lang w:val="es-AR"/>
        </w:rPr>
        <w:t>.</w:t>
      </w:r>
      <w:r w:rsidR="00754B14" w:rsidRPr="006E4BFA">
        <w:rPr>
          <w:rFonts w:ascii="Arial" w:hAnsi="Arial" w:cs="Arial"/>
          <w:spacing w:val="-3"/>
          <w:lang w:val="es-AR"/>
        </w:rPr>
        <w:t xml:space="preserve"> </w:t>
      </w:r>
      <w:r w:rsidRPr="006E4BFA">
        <w:rPr>
          <w:rFonts w:ascii="Arial" w:hAnsi="Arial" w:cs="Arial"/>
          <w:spacing w:val="-3"/>
          <w:lang w:val="es-AR"/>
        </w:rPr>
        <w:t xml:space="preserve">Dicho incremento fue </w:t>
      </w:r>
      <w:r w:rsidR="006E4BFA" w:rsidRPr="006E4BFA">
        <w:rPr>
          <w:rFonts w:ascii="Arial" w:hAnsi="Arial" w:cs="Arial"/>
          <w:spacing w:val="-3"/>
          <w:lang w:val="es-AR"/>
        </w:rPr>
        <w:t xml:space="preserve">motivado fundamentalmente por mayores cargos por transporte de productos, vinculados principalmente al incremento en las tarifas de transporte de combustibles en el mercado interno, como así también por mayores cargos por depreciación de activos fijos, mayores gastos de personal y mayores montos de impuesto a los débitos y créditos bancarios y retenciones a las exportaciones. </w:t>
      </w:r>
    </w:p>
    <w:p w14:paraId="236D43D8" w14:textId="289C7046" w:rsidR="00F66D20" w:rsidRPr="00F66D20" w:rsidRDefault="001D5FEE" w:rsidP="006E4BFA">
      <w:pPr>
        <w:spacing w:line="288" w:lineRule="auto"/>
        <w:jc w:val="both"/>
        <w:rPr>
          <w:rFonts w:ascii="Arial" w:hAnsi="Arial" w:cs="Arial"/>
          <w:w w:val="0"/>
          <w:lang w:val="es-AR"/>
        </w:rPr>
      </w:pPr>
      <w:r w:rsidRPr="00485C1E">
        <w:rPr>
          <w:rFonts w:ascii="Arial" w:hAnsi="Arial" w:cs="Arial"/>
          <w:w w:val="0"/>
          <w:lang w:val="es-AR"/>
        </w:rPr>
        <w:t>El volumen de crudo procesado en el tr</w:t>
      </w:r>
      <w:r w:rsidR="00E23861">
        <w:rPr>
          <w:rFonts w:ascii="Arial" w:hAnsi="Arial" w:cs="Arial"/>
          <w:w w:val="0"/>
          <w:lang w:val="es-AR"/>
        </w:rPr>
        <w:t xml:space="preserve">imestre fue de 262,8 </w:t>
      </w:r>
      <w:proofErr w:type="spellStart"/>
      <w:r w:rsidR="00E23861">
        <w:rPr>
          <w:rFonts w:ascii="Arial" w:hAnsi="Arial" w:cs="Arial"/>
          <w:w w:val="0"/>
          <w:lang w:val="es-AR"/>
        </w:rPr>
        <w:t>Kbbld</w:t>
      </w:r>
      <w:proofErr w:type="spellEnd"/>
      <w:r w:rsidR="00E23861">
        <w:rPr>
          <w:rFonts w:ascii="Arial" w:hAnsi="Arial" w:cs="Arial"/>
          <w:w w:val="0"/>
          <w:lang w:val="es-AR"/>
        </w:rPr>
        <w:t>, un 4,4</w:t>
      </w:r>
      <w:r w:rsidR="005801F7">
        <w:rPr>
          <w:rFonts w:ascii="Arial" w:hAnsi="Arial" w:cs="Arial"/>
          <w:w w:val="0"/>
          <w:lang w:val="es-AR"/>
        </w:rPr>
        <w:t>%</w:t>
      </w:r>
      <w:r w:rsidRPr="00485C1E">
        <w:rPr>
          <w:rFonts w:ascii="Arial" w:hAnsi="Arial" w:cs="Arial"/>
          <w:w w:val="0"/>
          <w:lang w:val="es-AR"/>
        </w:rPr>
        <w:t xml:space="preserve"> inferior al del </w:t>
      </w:r>
      <w:r w:rsidR="006B6A29">
        <w:rPr>
          <w:rFonts w:ascii="Arial" w:hAnsi="Arial" w:cs="Arial"/>
          <w:w w:val="0"/>
          <w:lang w:val="es-AR"/>
        </w:rPr>
        <w:t>segundo</w:t>
      </w:r>
      <w:r w:rsidR="009C1B86" w:rsidRPr="00485C1E">
        <w:rPr>
          <w:rFonts w:ascii="Arial" w:hAnsi="Arial" w:cs="Arial"/>
          <w:w w:val="0"/>
          <w:lang w:val="es-AR"/>
        </w:rPr>
        <w:t xml:space="preserve"> </w:t>
      </w:r>
      <w:r w:rsidR="00FD199A" w:rsidRPr="00485C1E">
        <w:rPr>
          <w:rFonts w:ascii="Arial" w:hAnsi="Arial" w:cs="Arial"/>
          <w:w w:val="0"/>
          <w:lang w:val="es-AR"/>
        </w:rPr>
        <w:t>trim</w:t>
      </w:r>
      <w:r w:rsidR="00385DD5">
        <w:rPr>
          <w:rFonts w:ascii="Arial" w:hAnsi="Arial" w:cs="Arial"/>
          <w:w w:val="0"/>
          <w:lang w:val="es-AR"/>
        </w:rPr>
        <w:t>estre del 2018</w:t>
      </w:r>
      <w:r w:rsidR="00672B66" w:rsidRPr="0058416B">
        <w:rPr>
          <w:rFonts w:ascii="Arial" w:hAnsi="Arial" w:cs="Arial"/>
          <w:w w:val="0"/>
          <w:lang w:val="es-AR"/>
        </w:rPr>
        <w:t xml:space="preserve">, </w:t>
      </w:r>
      <w:r w:rsidR="001247C6" w:rsidRPr="007137F0">
        <w:rPr>
          <w:rFonts w:ascii="Arial" w:hAnsi="Arial" w:cs="Arial"/>
          <w:w w:val="0"/>
          <w:lang w:val="es-AR"/>
        </w:rPr>
        <w:t xml:space="preserve">principalmente por el corte general de energía eléctrica en Argentina del día 16 de junio de 2019 y paros de planta realizados. Con estos niveles de procesamiento se obtuvo una menor producción de Gas </w:t>
      </w:r>
      <w:proofErr w:type="spellStart"/>
      <w:r w:rsidR="001247C6" w:rsidRPr="007137F0">
        <w:rPr>
          <w:rFonts w:ascii="Arial" w:hAnsi="Arial" w:cs="Arial"/>
          <w:w w:val="0"/>
          <w:lang w:val="es-AR"/>
        </w:rPr>
        <w:lastRenderedPageBreak/>
        <w:t>Oil</w:t>
      </w:r>
      <w:proofErr w:type="spellEnd"/>
      <w:r w:rsidR="001247C6" w:rsidRPr="007137F0">
        <w:rPr>
          <w:rFonts w:ascii="Arial" w:hAnsi="Arial" w:cs="Arial"/>
          <w:w w:val="0"/>
          <w:lang w:val="es-AR"/>
        </w:rPr>
        <w:t xml:space="preserve"> de </w:t>
      </w:r>
      <w:r w:rsidR="001247C6">
        <w:rPr>
          <w:rFonts w:ascii="Arial" w:hAnsi="Arial" w:cs="Arial"/>
          <w:w w:val="0"/>
          <w:lang w:val="es-AR"/>
        </w:rPr>
        <w:t>(-</w:t>
      </w:r>
      <w:r w:rsidR="001247C6" w:rsidRPr="007137F0">
        <w:rPr>
          <w:rFonts w:ascii="Arial" w:hAnsi="Arial" w:cs="Arial"/>
          <w:w w:val="0"/>
          <w:lang w:val="es-AR"/>
        </w:rPr>
        <w:t>1,9%</w:t>
      </w:r>
      <w:r w:rsidR="001247C6">
        <w:rPr>
          <w:rFonts w:ascii="Arial" w:hAnsi="Arial" w:cs="Arial"/>
          <w:w w:val="0"/>
          <w:lang w:val="es-AR"/>
        </w:rPr>
        <w:t>)</w:t>
      </w:r>
      <w:r w:rsidR="001247C6" w:rsidRPr="007137F0">
        <w:rPr>
          <w:rFonts w:ascii="Arial" w:hAnsi="Arial" w:cs="Arial"/>
          <w:w w:val="0"/>
          <w:lang w:val="es-AR"/>
        </w:rPr>
        <w:t xml:space="preserve">, una menor producción de Naftas de </w:t>
      </w:r>
      <w:r w:rsidR="001247C6">
        <w:rPr>
          <w:rFonts w:ascii="Arial" w:hAnsi="Arial" w:cs="Arial"/>
          <w:w w:val="0"/>
          <w:lang w:val="es-AR"/>
        </w:rPr>
        <w:t>(-</w:t>
      </w:r>
      <w:r w:rsidR="001247C6" w:rsidRPr="006E526C">
        <w:rPr>
          <w:rFonts w:ascii="Arial" w:hAnsi="Arial" w:cs="Arial"/>
          <w:lang w:val="es-AR"/>
        </w:rPr>
        <w:t>6,2</w:t>
      </w:r>
      <w:r w:rsidR="001247C6" w:rsidRPr="007137F0">
        <w:rPr>
          <w:rFonts w:ascii="Arial" w:hAnsi="Arial" w:cs="Arial"/>
          <w:w w:val="0"/>
          <w:lang w:val="es-AR"/>
        </w:rPr>
        <w:t>%</w:t>
      </w:r>
      <w:r w:rsidR="001247C6">
        <w:rPr>
          <w:rFonts w:ascii="Arial" w:hAnsi="Arial" w:cs="Arial"/>
          <w:w w:val="0"/>
          <w:lang w:val="es-AR"/>
        </w:rPr>
        <w:t xml:space="preserve">), </w:t>
      </w:r>
      <w:r w:rsidR="001247C6" w:rsidRPr="007137F0">
        <w:rPr>
          <w:rFonts w:ascii="Arial" w:hAnsi="Arial" w:cs="Arial"/>
          <w:w w:val="0"/>
          <w:lang w:val="es-AR"/>
        </w:rPr>
        <w:t xml:space="preserve">correspondiendo ésta última a la menor producción de Nafta </w:t>
      </w:r>
      <w:proofErr w:type="spellStart"/>
      <w:r w:rsidR="001247C6" w:rsidRPr="007137F0">
        <w:rPr>
          <w:rFonts w:ascii="Arial" w:hAnsi="Arial" w:cs="Arial"/>
          <w:w w:val="0"/>
          <w:lang w:val="es-AR"/>
        </w:rPr>
        <w:t>Infinia</w:t>
      </w:r>
      <w:proofErr w:type="spellEnd"/>
      <w:r w:rsidR="001247C6" w:rsidRPr="007137F0">
        <w:rPr>
          <w:rFonts w:ascii="Arial" w:hAnsi="Arial" w:cs="Arial"/>
          <w:w w:val="0"/>
          <w:lang w:val="es-AR"/>
        </w:rPr>
        <w:t xml:space="preserve"> por un </w:t>
      </w:r>
      <w:r w:rsidR="001247C6">
        <w:rPr>
          <w:rFonts w:ascii="Arial" w:hAnsi="Arial" w:cs="Arial"/>
          <w:w w:val="0"/>
          <w:lang w:val="es-AR"/>
        </w:rPr>
        <w:t>(-</w:t>
      </w:r>
      <w:r w:rsidR="001247C6" w:rsidRPr="007137F0">
        <w:rPr>
          <w:rFonts w:ascii="Arial" w:hAnsi="Arial" w:cs="Arial"/>
          <w:w w:val="0"/>
          <w:lang w:val="es-AR"/>
        </w:rPr>
        <w:t>37,9%</w:t>
      </w:r>
      <w:r w:rsidR="001247C6">
        <w:rPr>
          <w:rFonts w:ascii="Arial" w:hAnsi="Arial" w:cs="Arial"/>
          <w:w w:val="0"/>
          <w:lang w:val="es-AR"/>
        </w:rPr>
        <w:t>)</w:t>
      </w:r>
      <w:r w:rsidR="001247C6" w:rsidRPr="007137F0">
        <w:rPr>
          <w:rFonts w:ascii="Arial" w:hAnsi="Arial" w:cs="Arial"/>
          <w:w w:val="0"/>
          <w:lang w:val="es-AR"/>
        </w:rPr>
        <w:t xml:space="preserve">, compensada en parte por una mayor producción de Nafta Super por un </w:t>
      </w:r>
      <w:r w:rsidR="001247C6">
        <w:rPr>
          <w:rFonts w:ascii="Arial" w:hAnsi="Arial" w:cs="Arial"/>
          <w:w w:val="0"/>
          <w:lang w:val="es-AR"/>
        </w:rPr>
        <w:t>(+</w:t>
      </w:r>
      <w:r w:rsidR="001247C6" w:rsidRPr="007137F0">
        <w:rPr>
          <w:rFonts w:ascii="Arial" w:hAnsi="Arial" w:cs="Arial"/>
          <w:w w:val="0"/>
          <w:lang w:val="es-AR"/>
        </w:rPr>
        <w:t xml:space="preserve">8,3%). Adicionalmente disminuyó la producción de otros refinados como gas licuado de petróleo (GLP), carbón de petróleo, asfaltos y bases lubricantes, mientras que incrementó la producción de fuel </w:t>
      </w:r>
      <w:proofErr w:type="spellStart"/>
      <w:r w:rsidR="001247C6" w:rsidRPr="007137F0">
        <w:rPr>
          <w:rFonts w:ascii="Arial" w:hAnsi="Arial" w:cs="Arial"/>
          <w:w w:val="0"/>
          <w:lang w:val="es-AR"/>
        </w:rPr>
        <w:t>oil</w:t>
      </w:r>
      <w:proofErr w:type="spellEnd"/>
      <w:r w:rsidR="001247C6" w:rsidRPr="007137F0">
        <w:rPr>
          <w:rFonts w:ascii="Arial" w:hAnsi="Arial" w:cs="Arial"/>
          <w:w w:val="0"/>
          <w:lang w:val="es-AR"/>
        </w:rPr>
        <w:t xml:space="preserve"> y nafta petroquímica, todo ello en comparación con las pr</w:t>
      </w:r>
      <w:r w:rsidR="00E3735C" w:rsidRPr="00E3735C">
        <w:rPr>
          <w:rFonts w:ascii="Arial" w:hAnsi="Arial" w:cs="Arial"/>
          <w:w w:val="0"/>
          <w:lang w:val="es-AR"/>
        </w:rPr>
        <w:t>oducciones del período anterior</w:t>
      </w:r>
      <w:r w:rsidR="00960515">
        <w:rPr>
          <w:rFonts w:ascii="Arial" w:hAnsi="Arial" w:cs="Arial"/>
          <w:w w:val="0"/>
          <w:lang w:val="es-AR"/>
        </w:rPr>
        <w:t>.</w:t>
      </w:r>
    </w:p>
    <w:p w14:paraId="2DA52CED" w14:textId="6E2EA905" w:rsidR="00CD798A" w:rsidRDefault="00CD798A" w:rsidP="00C03527">
      <w:pPr>
        <w:tabs>
          <w:tab w:val="left" w:pos="142"/>
        </w:tabs>
        <w:spacing w:after="0"/>
        <w:jc w:val="both"/>
        <w:rPr>
          <w:rFonts w:ascii="Arial" w:hAnsi="Arial" w:cs="Arial"/>
          <w:spacing w:val="-3"/>
          <w:u w:val="single"/>
          <w:lang w:val="es-AR"/>
        </w:rPr>
      </w:pPr>
    </w:p>
    <w:p w14:paraId="15F0855F" w14:textId="5EE6E616" w:rsidR="00066FD5" w:rsidRPr="00C06F71" w:rsidRDefault="00066FD5" w:rsidP="00C03527">
      <w:pPr>
        <w:tabs>
          <w:tab w:val="left" w:pos="142"/>
        </w:tabs>
        <w:spacing w:after="0"/>
        <w:jc w:val="both"/>
        <w:rPr>
          <w:rFonts w:ascii="Arial" w:hAnsi="Arial" w:cs="Arial"/>
          <w:spacing w:val="-3"/>
          <w:u w:val="single"/>
          <w:lang w:val="es-AR"/>
        </w:rPr>
      </w:pPr>
      <w:r w:rsidRPr="00C06F71">
        <w:rPr>
          <w:rFonts w:ascii="Arial" w:hAnsi="Arial" w:cs="Arial"/>
          <w:spacing w:val="-3"/>
          <w:u w:val="single"/>
          <w:lang w:val="es-AR"/>
        </w:rPr>
        <w:t xml:space="preserve">Inversiones </w:t>
      </w:r>
    </w:p>
    <w:p w14:paraId="47393C57" w14:textId="77777777" w:rsidR="00B11FC2" w:rsidRPr="00C06F71" w:rsidRDefault="00B11FC2" w:rsidP="007E7755">
      <w:pPr>
        <w:spacing w:after="0"/>
        <w:jc w:val="both"/>
        <w:rPr>
          <w:rFonts w:ascii="Arial" w:hAnsi="Arial" w:cs="Arial"/>
          <w:spacing w:val="-3"/>
          <w:lang w:val="es-AR"/>
        </w:rPr>
      </w:pPr>
    </w:p>
    <w:p w14:paraId="79CCC399" w14:textId="3F8C56BF" w:rsidR="00F15D37" w:rsidRDefault="00F15D37" w:rsidP="00A63BFD">
      <w:pPr>
        <w:spacing w:after="120" w:line="288" w:lineRule="auto"/>
        <w:jc w:val="both"/>
        <w:rPr>
          <w:rFonts w:ascii="Arial" w:hAnsi="Arial" w:cs="Arial"/>
          <w:w w:val="0"/>
          <w:lang w:val="es-AR"/>
        </w:rPr>
      </w:pPr>
      <w:bookmarkStart w:id="84" w:name="_Hlk2178161"/>
      <w:r w:rsidRPr="006E2295">
        <w:rPr>
          <w:rFonts w:ascii="Arial" w:hAnsi="Arial" w:cs="Arial"/>
          <w:w w:val="0"/>
          <w:lang w:val="es-AR"/>
        </w:rPr>
        <w:t xml:space="preserve">Las inversiones </w:t>
      </w:r>
      <w:r w:rsidR="00385DD5" w:rsidRPr="006E2295">
        <w:rPr>
          <w:rFonts w:ascii="Arial" w:hAnsi="Arial" w:cs="Arial"/>
          <w:w w:val="0"/>
          <w:lang w:val="es-AR"/>
        </w:rPr>
        <w:t xml:space="preserve">de </w:t>
      </w:r>
      <w:proofErr w:type="spellStart"/>
      <w:r w:rsidRPr="006E2295">
        <w:rPr>
          <w:rFonts w:ascii="Arial" w:hAnsi="Arial" w:cs="Arial"/>
          <w:w w:val="0"/>
          <w:lang w:val="es-AR"/>
        </w:rPr>
        <w:t>Downstream</w:t>
      </w:r>
      <w:proofErr w:type="spellEnd"/>
      <w:r w:rsidRPr="006E2295">
        <w:rPr>
          <w:rFonts w:ascii="Arial" w:hAnsi="Arial" w:cs="Arial"/>
          <w:w w:val="0"/>
          <w:lang w:val="es-AR"/>
        </w:rPr>
        <w:t xml:space="preserve"> del</w:t>
      </w:r>
      <w:r w:rsidR="00385DD5" w:rsidRPr="006E2295">
        <w:rPr>
          <w:rFonts w:ascii="Arial" w:hAnsi="Arial" w:cs="Arial"/>
          <w:w w:val="0"/>
          <w:lang w:val="es-AR"/>
        </w:rPr>
        <w:t xml:space="preserve"> </w:t>
      </w:r>
      <w:r w:rsidR="006B6A29">
        <w:rPr>
          <w:rFonts w:ascii="Arial" w:hAnsi="Arial" w:cs="Arial"/>
          <w:w w:val="0"/>
          <w:lang w:val="es-AR"/>
        </w:rPr>
        <w:t>segundo</w:t>
      </w:r>
      <w:r w:rsidR="00385DD5" w:rsidRPr="006E2295">
        <w:rPr>
          <w:rFonts w:ascii="Arial" w:hAnsi="Arial" w:cs="Arial"/>
          <w:w w:val="0"/>
          <w:lang w:val="es-AR"/>
        </w:rPr>
        <w:t xml:space="preserve"> trimestre del </w:t>
      </w:r>
      <w:r w:rsidRPr="006E2295">
        <w:rPr>
          <w:rFonts w:ascii="Arial" w:hAnsi="Arial" w:cs="Arial"/>
          <w:w w:val="0"/>
          <w:lang w:val="es-AR"/>
        </w:rPr>
        <w:t>201</w:t>
      </w:r>
      <w:r w:rsidR="00385DD5" w:rsidRPr="006E2295">
        <w:rPr>
          <w:rFonts w:ascii="Arial" w:hAnsi="Arial" w:cs="Arial"/>
          <w:w w:val="0"/>
          <w:lang w:val="es-AR"/>
        </w:rPr>
        <w:t>9</w:t>
      </w:r>
      <w:r w:rsidRPr="006E2295">
        <w:rPr>
          <w:rFonts w:ascii="Arial" w:hAnsi="Arial" w:cs="Arial"/>
          <w:w w:val="0"/>
          <w:lang w:val="es-AR"/>
        </w:rPr>
        <w:t xml:space="preserve"> </w:t>
      </w:r>
      <w:r w:rsidR="00AC3211" w:rsidRPr="006E2295">
        <w:rPr>
          <w:rFonts w:ascii="Arial" w:hAnsi="Arial" w:cs="Arial"/>
          <w:w w:val="0"/>
          <w:lang w:val="es-AR"/>
        </w:rPr>
        <w:t>totalizaron</w:t>
      </w:r>
      <w:r w:rsidRPr="006E2295">
        <w:rPr>
          <w:rFonts w:ascii="Arial" w:hAnsi="Arial" w:cs="Arial"/>
          <w:w w:val="0"/>
          <w:lang w:val="es-AR"/>
        </w:rPr>
        <w:t xml:space="preserve"> </w:t>
      </w:r>
      <w:proofErr w:type="spellStart"/>
      <w:r w:rsidR="009701C3" w:rsidRPr="006E2295">
        <w:rPr>
          <w:rFonts w:ascii="Arial" w:hAnsi="Arial" w:cs="Arial"/>
          <w:w w:val="0"/>
          <w:lang w:val="es-AR"/>
        </w:rPr>
        <w:t>Ps</w:t>
      </w:r>
      <w:proofErr w:type="spellEnd"/>
      <w:r w:rsidR="009701C3" w:rsidRPr="006E2295">
        <w:rPr>
          <w:rFonts w:ascii="Arial" w:hAnsi="Arial" w:cs="Arial"/>
          <w:w w:val="0"/>
          <w:lang w:val="es-AR"/>
        </w:rPr>
        <w:t xml:space="preserve"> </w:t>
      </w:r>
      <w:r w:rsidR="00E23861">
        <w:rPr>
          <w:rFonts w:ascii="Arial" w:hAnsi="Arial" w:cs="Arial"/>
          <w:w w:val="0"/>
          <w:lang w:val="es-AR"/>
        </w:rPr>
        <w:t>6,0</w:t>
      </w:r>
      <w:r w:rsidRPr="006E2295">
        <w:rPr>
          <w:rFonts w:ascii="Arial" w:hAnsi="Arial" w:cs="Arial"/>
          <w:w w:val="0"/>
          <w:lang w:val="es-AR"/>
        </w:rPr>
        <w:t xml:space="preserve"> </w:t>
      </w:r>
      <w:r w:rsidR="00563DD2" w:rsidRPr="006E2295">
        <w:rPr>
          <w:rFonts w:ascii="Arial" w:hAnsi="Arial" w:cs="Arial"/>
          <w:w w:val="0"/>
          <w:lang w:val="es-AR"/>
        </w:rPr>
        <w:t>MM</w:t>
      </w:r>
      <w:r w:rsidRPr="006E2295">
        <w:rPr>
          <w:rFonts w:ascii="Arial" w:hAnsi="Arial" w:cs="Arial"/>
          <w:w w:val="0"/>
          <w:lang w:val="es-AR"/>
        </w:rPr>
        <w:t xml:space="preserve">, siendo </w:t>
      </w:r>
      <w:r w:rsidR="00781A67" w:rsidRPr="006E2295">
        <w:rPr>
          <w:rFonts w:ascii="Arial" w:hAnsi="Arial" w:cs="Arial"/>
          <w:w w:val="0"/>
          <w:lang w:val="es-AR"/>
        </w:rPr>
        <w:t xml:space="preserve">un </w:t>
      </w:r>
      <w:r w:rsidR="00E23861">
        <w:rPr>
          <w:rFonts w:ascii="Arial" w:hAnsi="Arial" w:cs="Arial"/>
          <w:w w:val="0"/>
          <w:lang w:val="es-AR"/>
        </w:rPr>
        <w:t>123,7</w:t>
      </w:r>
      <w:r w:rsidR="00781A67" w:rsidRPr="006E2295">
        <w:rPr>
          <w:rFonts w:ascii="Arial" w:hAnsi="Arial" w:cs="Arial"/>
          <w:w w:val="0"/>
          <w:lang w:val="es-AR"/>
        </w:rPr>
        <w:t xml:space="preserve">% </w:t>
      </w:r>
      <w:r w:rsidR="00FC2804" w:rsidRPr="006E2295">
        <w:rPr>
          <w:rFonts w:ascii="Arial" w:hAnsi="Arial" w:cs="Arial"/>
          <w:w w:val="0"/>
          <w:lang w:val="es-AR"/>
        </w:rPr>
        <w:t xml:space="preserve">superiores </w:t>
      </w:r>
      <w:r w:rsidRPr="006E2295">
        <w:rPr>
          <w:rFonts w:ascii="Arial" w:hAnsi="Arial" w:cs="Arial"/>
          <w:w w:val="0"/>
          <w:lang w:val="es-AR"/>
        </w:rPr>
        <w:t xml:space="preserve">a las del </w:t>
      </w:r>
      <w:r w:rsidR="006B6A29">
        <w:rPr>
          <w:rFonts w:ascii="Arial" w:hAnsi="Arial" w:cs="Arial"/>
          <w:w w:val="0"/>
          <w:lang w:val="es-AR"/>
        </w:rPr>
        <w:t>segundo</w:t>
      </w:r>
      <w:r w:rsidR="0052545B">
        <w:rPr>
          <w:rFonts w:ascii="Arial" w:hAnsi="Arial" w:cs="Arial"/>
          <w:w w:val="0"/>
          <w:lang w:val="es-AR"/>
        </w:rPr>
        <w:t xml:space="preserve"> trimestre del </w:t>
      </w:r>
      <w:r w:rsidRPr="006E2295">
        <w:rPr>
          <w:rFonts w:ascii="Arial" w:hAnsi="Arial" w:cs="Arial"/>
          <w:w w:val="0"/>
          <w:lang w:val="es-AR"/>
        </w:rPr>
        <w:t>año 201</w:t>
      </w:r>
      <w:r w:rsidR="006E2295" w:rsidRPr="006E2295">
        <w:rPr>
          <w:rFonts w:ascii="Arial" w:hAnsi="Arial" w:cs="Arial"/>
          <w:w w:val="0"/>
          <w:lang w:val="es-AR"/>
        </w:rPr>
        <w:t>8</w:t>
      </w:r>
      <w:r w:rsidR="00C06F71" w:rsidRPr="006E2295">
        <w:rPr>
          <w:rFonts w:ascii="Arial" w:hAnsi="Arial" w:cs="Arial"/>
          <w:w w:val="0"/>
          <w:lang w:val="es-AR"/>
        </w:rPr>
        <w:t xml:space="preserve">. </w:t>
      </w:r>
    </w:p>
    <w:bookmarkEnd w:id="84"/>
    <w:p w14:paraId="224F1796" w14:textId="13FBB364" w:rsidR="00B254AA" w:rsidRPr="00B85105" w:rsidRDefault="00B254AA" w:rsidP="00B254AA">
      <w:pPr>
        <w:spacing w:after="120" w:line="288" w:lineRule="auto"/>
        <w:jc w:val="both"/>
        <w:rPr>
          <w:rFonts w:ascii="Arial" w:hAnsi="Arial" w:cs="Arial"/>
          <w:w w:val="0"/>
          <w:lang w:val="es-AR"/>
        </w:rPr>
      </w:pPr>
      <w:r w:rsidRPr="00B85105">
        <w:rPr>
          <w:rFonts w:ascii="Arial" w:hAnsi="Arial" w:cs="Arial"/>
          <w:w w:val="0"/>
          <w:lang w:val="es-AR"/>
        </w:rPr>
        <w:t xml:space="preserve">En Refinería La Plata la obra de </w:t>
      </w:r>
      <w:proofErr w:type="spellStart"/>
      <w:r w:rsidRPr="00B85105">
        <w:rPr>
          <w:rFonts w:ascii="Arial" w:hAnsi="Arial" w:cs="Arial"/>
          <w:w w:val="0"/>
          <w:lang w:val="es-AR"/>
        </w:rPr>
        <w:t>blending</w:t>
      </w:r>
      <w:proofErr w:type="spellEnd"/>
      <w:r w:rsidRPr="00B85105">
        <w:rPr>
          <w:rFonts w:ascii="Arial" w:hAnsi="Arial" w:cs="Arial"/>
          <w:w w:val="0"/>
          <w:lang w:val="es-AR"/>
        </w:rPr>
        <w:t xml:space="preserve"> de naftas y gasoil se encuentra con la terminación mecánica finalizada y se comenzaron las obras principales del </w:t>
      </w:r>
      <w:proofErr w:type="spellStart"/>
      <w:r w:rsidRPr="00B85105">
        <w:rPr>
          <w:rFonts w:ascii="Arial" w:hAnsi="Arial" w:cs="Arial"/>
          <w:w w:val="0"/>
          <w:lang w:val="es-AR"/>
        </w:rPr>
        <w:t>Revamping</w:t>
      </w:r>
      <w:proofErr w:type="spellEnd"/>
      <w:r w:rsidRPr="00B85105">
        <w:rPr>
          <w:rFonts w:ascii="Arial" w:hAnsi="Arial" w:cs="Arial"/>
          <w:w w:val="0"/>
          <w:lang w:val="es-AR"/>
        </w:rPr>
        <w:t xml:space="preserve"> de la unidad de </w:t>
      </w:r>
      <w:proofErr w:type="spellStart"/>
      <w:r w:rsidRPr="00B85105">
        <w:rPr>
          <w:rFonts w:ascii="Arial" w:hAnsi="Arial" w:cs="Arial"/>
          <w:w w:val="0"/>
          <w:lang w:val="es-AR"/>
        </w:rPr>
        <w:t>Topping</w:t>
      </w:r>
      <w:proofErr w:type="spellEnd"/>
      <w:r w:rsidRPr="00B85105">
        <w:rPr>
          <w:rFonts w:ascii="Arial" w:hAnsi="Arial" w:cs="Arial"/>
          <w:w w:val="0"/>
          <w:lang w:val="es-AR"/>
        </w:rPr>
        <w:t xml:space="preserve"> D, a fin de aumentar la capac</w:t>
      </w:r>
      <w:r w:rsidR="005039EF" w:rsidRPr="00B85105">
        <w:rPr>
          <w:rFonts w:ascii="Arial" w:hAnsi="Arial" w:cs="Arial"/>
          <w:w w:val="0"/>
          <w:lang w:val="es-AR"/>
        </w:rPr>
        <w:t xml:space="preserve">idad de procesamiento de crudo </w:t>
      </w:r>
      <w:proofErr w:type="spellStart"/>
      <w:r w:rsidR="005039EF" w:rsidRPr="00B85105">
        <w:rPr>
          <w:rFonts w:ascii="Arial" w:hAnsi="Arial" w:cs="Arial"/>
          <w:w w:val="0"/>
          <w:lang w:val="es-AR"/>
        </w:rPr>
        <w:t>s</w:t>
      </w:r>
      <w:r w:rsidRPr="00B85105">
        <w:rPr>
          <w:rFonts w:ascii="Arial" w:hAnsi="Arial" w:cs="Arial"/>
          <w:w w:val="0"/>
          <w:lang w:val="es-AR"/>
        </w:rPr>
        <w:t>hale</w:t>
      </w:r>
      <w:proofErr w:type="spellEnd"/>
      <w:r w:rsidRPr="00B85105">
        <w:rPr>
          <w:rFonts w:ascii="Arial" w:hAnsi="Arial" w:cs="Arial"/>
          <w:w w:val="0"/>
          <w:lang w:val="es-AR"/>
        </w:rPr>
        <w:t xml:space="preserve">. La misma se estima que estará finalizada durante el año 2021. Continúan los desarrollos de las Ingenierías para las nuevas unidades de </w:t>
      </w:r>
      <w:proofErr w:type="spellStart"/>
      <w:r w:rsidRPr="00B85105">
        <w:rPr>
          <w:rFonts w:ascii="Arial" w:hAnsi="Arial" w:cs="Arial"/>
          <w:w w:val="0"/>
          <w:lang w:val="es-AR"/>
        </w:rPr>
        <w:t>hidrotratamiento</w:t>
      </w:r>
      <w:proofErr w:type="spellEnd"/>
      <w:r w:rsidRPr="00B85105">
        <w:rPr>
          <w:rFonts w:ascii="Arial" w:hAnsi="Arial" w:cs="Arial"/>
          <w:w w:val="0"/>
          <w:lang w:val="es-AR"/>
        </w:rPr>
        <w:t xml:space="preserve"> de naftas y gasoil a realizarse en las tres refinerías, con el objetivo de dar cumplimiento a la Resolución 5/2016 de la Secretaría de Recursos </w:t>
      </w:r>
      <w:proofErr w:type="spellStart"/>
      <w:r w:rsidRPr="00B85105">
        <w:rPr>
          <w:rFonts w:ascii="Arial" w:hAnsi="Arial" w:cs="Arial"/>
          <w:w w:val="0"/>
          <w:lang w:val="es-AR"/>
        </w:rPr>
        <w:t>Hidrocarburíferos</w:t>
      </w:r>
      <w:proofErr w:type="spellEnd"/>
      <w:r w:rsidRPr="00B85105">
        <w:rPr>
          <w:rFonts w:ascii="Arial" w:hAnsi="Arial" w:cs="Arial"/>
          <w:w w:val="0"/>
          <w:lang w:val="es-AR"/>
        </w:rPr>
        <w:t xml:space="preserve"> sobre nuevas especificaciones de combustibles. </w:t>
      </w:r>
    </w:p>
    <w:p w14:paraId="2DF7958B" w14:textId="7FC566D1" w:rsidR="00B254AA" w:rsidRPr="00B254AA" w:rsidRDefault="00B254AA" w:rsidP="00B254AA">
      <w:pPr>
        <w:spacing w:after="120" w:line="288" w:lineRule="auto"/>
        <w:jc w:val="both"/>
        <w:rPr>
          <w:rFonts w:ascii="Arial" w:hAnsi="Arial" w:cs="Arial"/>
          <w:w w:val="0"/>
          <w:lang w:val="es-AR"/>
        </w:rPr>
      </w:pPr>
      <w:r w:rsidRPr="00B85105">
        <w:rPr>
          <w:rFonts w:ascii="Arial" w:hAnsi="Arial" w:cs="Arial"/>
          <w:w w:val="0"/>
          <w:lang w:val="es-AR"/>
        </w:rPr>
        <w:t>En las instalaciones de refino, logísticas y de despacho de productos petrolíferos se continúa con las obras de mejoras en la infraestructura, en aspectos de seguridad y medio ambiente</w:t>
      </w:r>
      <w:bookmarkStart w:id="85" w:name="_Hlk15921774"/>
      <w:r w:rsidRPr="00B85105">
        <w:rPr>
          <w:rFonts w:ascii="Arial" w:hAnsi="Arial" w:cs="Arial"/>
          <w:w w:val="0"/>
          <w:lang w:val="es-AR"/>
        </w:rPr>
        <w:t xml:space="preserve">. </w:t>
      </w:r>
      <w:bookmarkStart w:id="86" w:name="_Hlk15921802"/>
      <w:bookmarkStart w:id="87" w:name="_Hlk15921790"/>
      <w:r w:rsidRPr="00B85105">
        <w:rPr>
          <w:rFonts w:ascii="Arial" w:hAnsi="Arial" w:cs="Arial"/>
          <w:w w:val="0"/>
          <w:lang w:val="es-AR"/>
        </w:rPr>
        <w:t>En el Complejo Industrial La Plata</w:t>
      </w:r>
      <w:bookmarkEnd w:id="86"/>
      <w:r w:rsidRPr="00B85105">
        <w:rPr>
          <w:rFonts w:ascii="Arial" w:hAnsi="Arial" w:cs="Arial"/>
          <w:w w:val="0"/>
          <w:lang w:val="es-AR"/>
        </w:rPr>
        <w:t>, la obra de recepción de crudo cuenta con terminación mecánica.</w:t>
      </w:r>
      <w:bookmarkEnd w:id="85"/>
      <w:bookmarkEnd w:id="87"/>
      <w:r w:rsidRPr="00B85105">
        <w:rPr>
          <w:rFonts w:ascii="Arial" w:hAnsi="Arial" w:cs="Arial"/>
          <w:w w:val="0"/>
          <w:lang w:val="es-AR"/>
        </w:rPr>
        <w:t xml:space="preserve"> La misma permitirá una mayor flexibilidad en las cargas de crudo a los </w:t>
      </w:r>
      <w:proofErr w:type="spellStart"/>
      <w:r w:rsidRPr="00B85105">
        <w:rPr>
          <w:rFonts w:ascii="Arial" w:hAnsi="Arial" w:cs="Arial"/>
          <w:w w:val="0"/>
          <w:lang w:val="es-AR"/>
        </w:rPr>
        <w:t>Toppings</w:t>
      </w:r>
      <w:proofErr w:type="spellEnd"/>
      <w:r w:rsidRPr="00B85105">
        <w:rPr>
          <w:rFonts w:ascii="Arial" w:hAnsi="Arial" w:cs="Arial"/>
          <w:w w:val="0"/>
          <w:lang w:val="es-AR"/>
        </w:rPr>
        <w:t xml:space="preserve"> y aportará una mejora en las condiciones de seguridad, tanto de las instalaciones del mencionado complejo como de las instalaciones logísticas asociadas.</w:t>
      </w:r>
    </w:p>
    <w:p w14:paraId="3E6A8CC2" w14:textId="77777777" w:rsidR="00B254AA" w:rsidRPr="006E2295" w:rsidRDefault="00B254AA" w:rsidP="0052545B">
      <w:pPr>
        <w:spacing w:after="120" w:line="288" w:lineRule="auto"/>
        <w:jc w:val="both"/>
        <w:rPr>
          <w:rFonts w:ascii="Arial" w:hAnsi="Arial" w:cs="Arial"/>
          <w:w w:val="0"/>
          <w:lang w:val="es-AR"/>
        </w:rPr>
      </w:pPr>
    </w:p>
    <w:p w14:paraId="278F20EC" w14:textId="0E722DF5" w:rsidR="002D6E74" w:rsidRPr="00364CCF" w:rsidRDefault="002D6E74" w:rsidP="00364CCF">
      <w:pPr>
        <w:spacing w:after="120" w:line="288" w:lineRule="auto"/>
        <w:jc w:val="both"/>
        <w:rPr>
          <w:rFonts w:ascii="Arial" w:hAnsi="Arial" w:cs="Arial"/>
          <w:w w:val="0"/>
          <w:lang w:val="es-AR"/>
        </w:rPr>
      </w:pPr>
    </w:p>
    <w:p w14:paraId="13F52307" w14:textId="15E22768" w:rsidR="00C03527" w:rsidRDefault="001F4F04" w:rsidP="00711BF0">
      <w:pPr>
        <w:pStyle w:val="Heading2"/>
        <w:rPr>
          <w:rFonts w:cs="Arial"/>
          <w:color w:val="000000"/>
          <w:spacing w:val="-3"/>
          <w:sz w:val="24"/>
          <w:lang w:val="es-AR"/>
        </w:rPr>
      </w:pPr>
      <w:r w:rsidRPr="00485C1E">
        <w:rPr>
          <w:rFonts w:cs="Arial"/>
          <w:w w:val="0"/>
          <w:lang w:val="es-AR"/>
        </w:rPr>
        <w:br w:type="page"/>
      </w:r>
      <w:r w:rsidR="00630B46" w:rsidRPr="00711BF0">
        <w:rPr>
          <w:rFonts w:cs="Arial"/>
          <w:color w:val="000000"/>
          <w:spacing w:val="-3"/>
          <w:sz w:val="24"/>
          <w:lang w:val="es-AR"/>
        </w:rPr>
        <w:lastRenderedPageBreak/>
        <w:t>3.3 GAS</w:t>
      </w:r>
      <w:r w:rsidRPr="00711BF0">
        <w:rPr>
          <w:rFonts w:cs="Arial"/>
          <w:color w:val="000000"/>
          <w:spacing w:val="-3"/>
          <w:sz w:val="24"/>
          <w:lang w:val="es-AR"/>
        </w:rPr>
        <w:t xml:space="preserve"> Y ENERGÍA</w:t>
      </w:r>
    </w:p>
    <w:p w14:paraId="6DF93C0C" w14:textId="77777777" w:rsidR="007F7D4A" w:rsidRPr="00485C1E" w:rsidRDefault="007F7D4A" w:rsidP="007F7D4A">
      <w:pPr>
        <w:pStyle w:val="Heading2"/>
        <w:rPr>
          <w:rFonts w:cs="Arial"/>
          <w:spacing w:val="-3"/>
          <w:sz w:val="14"/>
          <w:szCs w:val="14"/>
          <w:lang w:val="es-AR"/>
        </w:rPr>
      </w:pPr>
    </w:p>
    <w:p w14:paraId="1FD78F5F" w14:textId="452D22F8" w:rsidR="00C03527" w:rsidRPr="001F41DE" w:rsidRDefault="002F308B" w:rsidP="00E23861">
      <w:pPr>
        <w:spacing w:after="120" w:line="288" w:lineRule="auto"/>
        <w:jc w:val="both"/>
        <w:rPr>
          <w:rFonts w:ascii="Arial" w:hAnsi="Arial" w:cs="Arial"/>
          <w:b/>
          <w:sz w:val="24"/>
          <w:lang w:val="es-AR"/>
        </w:rPr>
      </w:pPr>
      <w:r w:rsidRPr="002F308B">
        <w:rPr>
          <w:noProof/>
        </w:rPr>
        <w:drawing>
          <wp:inline distT="0" distB="0" distL="0" distR="0" wp14:anchorId="523E9CE6" wp14:editId="1AB65333">
            <wp:extent cx="6570980" cy="1703243"/>
            <wp:effectExtent l="0" t="0" r="127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70980" cy="1703243"/>
                    </a:xfrm>
                    <a:prstGeom prst="rect">
                      <a:avLst/>
                    </a:prstGeom>
                    <a:noFill/>
                    <a:ln>
                      <a:noFill/>
                    </a:ln>
                  </pic:spPr>
                </pic:pic>
              </a:graphicData>
            </a:graphic>
          </wp:inline>
        </w:drawing>
      </w:r>
    </w:p>
    <w:p w14:paraId="2994CAA1" w14:textId="421A5FEC" w:rsidR="006853FC" w:rsidRPr="00CD798A" w:rsidRDefault="006853FC" w:rsidP="006853FC">
      <w:pPr>
        <w:spacing w:after="0"/>
        <w:jc w:val="both"/>
        <w:rPr>
          <w:rFonts w:ascii="Arial" w:hAnsi="Arial" w:cs="Arial"/>
          <w:b/>
          <w:color w:val="000000"/>
          <w:spacing w:val="-3"/>
          <w:sz w:val="12"/>
          <w:szCs w:val="12"/>
          <w:lang w:val="es-AR"/>
        </w:rPr>
      </w:pPr>
    </w:p>
    <w:p w14:paraId="1817B3FF" w14:textId="2E935881" w:rsidR="0052545B" w:rsidRDefault="001B634F" w:rsidP="00082B25">
      <w:pPr>
        <w:spacing w:after="120" w:line="288" w:lineRule="auto"/>
        <w:jc w:val="both"/>
        <w:rPr>
          <w:rFonts w:ascii="Arial" w:hAnsi="Arial" w:cs="Arial"/>
          <w:w w:val="0"/>
          <w:lang w:val="es-AR"/>
        </w:rPr>
      </w:pPr>
      <w:r>
        <w:rPr>
          <w:rFonts w:ascii="Arial" w:hAnsi="Arial" w:cs="Arial"/>
          <w:w w:val="0"/>
          <w:lang w:val="es-AR"/>
        </w:rPr>
        <w:t xml:space="preserve">En el </w:t>
      </w:r>
      <w:r w:rsidR="00FE5F41">
        <w:rPr>
          <w:rFonts w:ascii="Arial" w:hAnsi="Arial" w:cs="Arial"/>
          <w:w w:val="0"/>
          <w:lang w:val="es-AR"/>
        </w:rPr>
        <w:t>segundo</w:t>
      </w:r>
      <w:r>
        <w:rPr>
          <w:rFonts w:ascii="Arial" w:hAnsi="Arial" w:cs="Arial"/>
          <w:w w:val="0"/>
          <w:lang w:val="es-AR"/>
        </w:rPr>
        <w:t xml:space="preserve"> trimestre de 2019</w:t>
      </w:r>
      <w:r w:rsidR="002A570B">
        <w:rPr>
          <w:rFonts w:ascii="Arial" w:hAnsi="Arial" w:cs="Arial"/>
          <w:w w:val="0"/>
          <w:lang w:val="es-AR"/>
        </w:rPr>
        <w:t xml:space="preserve"> e</w:t>
      </w:r>
      <w:r w:rsidR="002A570B" w:rsidRPr="00364CCF">
        <w:rPr>
          <w:rFonts w:ascii="Arial" w:hAnsi="Arial" w:cs="Arial"/>
          <w:w w:val="0"/>
          <w:lang w:val="es-AR"/>
        </w:rPr>
        <w:t>l segment</w:t>
      </w:r>
      <w:r w:rsidR="002A570B">
        <w:rPr>
          <w:rFonts w:ascii="Arial" w:hAnsi="Arial" w:cs="Arial"/>
          <w:w w:val="0"/>
          <w:lang w:val="es-AR"/>
        </w:rPr>
        <w:t xml:space="preserve">o de negocios de Gas y Energía </w:t>
      </w:r>
      <w:r w:rsidR="0052545B">
        <w:rPr>
          <w:rFonts w:ascii="Arial" w:hAnsi="Arial" w:cs="Arial"/>
          <w:w w:val="0"/>
          <w:lang w:val="es-AR"/>
        </w:rPr>
        <w:t xml:space="preserve">registró una </w:t>
      </w:r>
      <w:r w:rsidR="00E23861">
        <w:rPr>
          <w:rFonts w:ascii="Arial" w:hAnsi="Arial" w:cs="Arial"/>
          <w:w w:val="0"/>
          <w:lang w:val="es-AR"/>
        </w:rPr>
        <w:t>ganancia</w:t>
      </w:r>
      <w:r w:rsidR="0052545B">
        <w:rPr>
          <w:rFonts w:ascii="Arial" w:hAnsi="Arial" w:cs="Arial"/>
          <w:w w:val="0"/>
          <w:lang w:val="es-AR"/>
        </w:rPr>
        <w:t xml:space="preserve"> operativa </w:t>
      </w:r>
      <w:r w:rsidR="002A570B" w:rsidRPr="00FC2804">
        <w:rPr>
          <w:rFonts w:ascii="Arial" w:hAnsi="Arial" w:cs="Arial"/>
          <w:w w:val="0"/>
          <w:lang w:val="es-AR"/>
        </w:rPr>
        <w:t xml:space="preserve">de </w:t>
      </w:r>
      <w:proofErr w:type="spellStart"/>
      <w:r w:rsidR="002A570B" w:rsidRPr="00FC2804">
        <w:rPr>
          <w:rFonts w:ascii="Arial" w:hAnsi="Arial" w:cs="Arial"/>
          <w:w w:val="0"/>
          <w:lang w:val="es-AR"/>
        </w:rPr>
        <w:t>Ps</w:t>
      </w:r>
      <w:proofErr w:type="spellEnd"/>
      <w:r w:rsidR="002A570B" w:rsidRPr="00FC2804">
        <w:rPr>
          <w:rFonts w:ascii="Arial" w:hAnsi="Arial" w:cs="Arial"/>
          <w:w w:val="0"/>
          <w:lang w:val="es-AR"/>
        </w:rPr>
        <w:t xml:space="preserve"> </w:t>
      </w:r>
      <w:r w:rsidR="00E23861">
        <w:rPr>
          <w:rFonts w:ascii="Arial" w:hAnsi="Arial" w:cs="Arial"/>
          <w:w w:val="0"/>
          <w:lang w:val="es-AR"/>
        </w:rPr>
        <w:t>1,9</w:t>
      </w:r>
      <w:r w:rsidR="002A570B" w:rsidRPr="00FC2804">
        <w:rPr>
          <w:rFonts w:ascii="Arial" w:hAnsi="Arial" w:cs="Arial"/>
          <w:w w:val="0"/>
          <w:lang w:val="es-AR"/>
        </w:rPr>
        <w:t xml:space="preserve"> MM, </w:t>
      </w:r>
      <w:r w:rsidR="0052545B" w:rsidRPr="00082B25">
        <w:rPr>
          <w:rFonts w:ascii="Arial" w:hAnsi="Arial" w:cs="Arial"/>
          <w:w w:val="0"/>
          <w:lang w:val="es-AR"/>
        </w:rPr>
        <w:t>frente a l</w:t>
      </w:r>
      <w:r w:rsidR="00E705D9">
        <w:rPr>
          <w:rFonts w:ascii="Arial" w:hAnsi="Arial" w:cs="Arial"/>
          <w:w w:val="0"/>
          <w:lang w:val="es-AR"/>
        </w:rPr>
        <w:t xml:space="preserve">a utilidad operativa positiva de </w:t>
      </w:r>
      <w:proofErr w:type="spellStart"/>
      <w:r w:rsidR="00E23861">
        <w:rPr>
          <w:rFonts w:ascii="Arial" w:hAnsi="Arial" w:cs="Arial"/>
          <w:w w:val="0"/>
          <w:lang w:val="es-AR"/>
        </w:rPr>
        <w:t>Ps</w:t>
      </w:r>
      <w:proofErr w:type="spellEnd"/>
      <w:r w:rsidR="00E23861">
        <w:rPr>
          <w:rFonts w:ascii="Arial" w:hAnsi="Arial" w:cs="Arial"/>
          <w:w w:val="0"/>
          <w:lang w:val="es-AR"/>
        </w:rPr>
        <w:t xml:space="preserve"> 0,8</w:t>
      </w:r>
      <w:r w:rsidR="00082B25">
        <w:rPr>
          <w:rFonts w:ascii="Arial" w:hAnsi="Arial" w:cs="Arial"/>
          <w:w w:val="0"/>
          <w:lang w:val="es-AR"/>
        </w:rPr>
        <w:t xml:space="preserve"> MM </w:t>
      </w:r>
      <w:r w:rsidR="0052545B" w:rsidRPr="00082B25">
        <w:rPr>
          <w:rFonts w:ascii="Arial" w:hAnsi="Arial" w:cs="Arial"/>
          <w:w w:val="0"/>
          <w:lang w:val="es-AR"/>
        </w:rPr>
        <w:t xml:space="preserve">durante el mismo período de 2018. </w:t>
      </w:r>
    </w:p>
    <w:p w14:paraId="180CFC7E" w14:textId="195920CB" w:rsidR="002A570B" w:rsidRDefault="002A570B" w:rsidP="002A570B">
      <w:pPr>
        <w:spacing w:after="120" w:line="288" w:lineRule="auto"/>
        <w:jc w:val="both"/>
        <w:rPr>
          <w:rFonts w:ascii="Arial" w:hAnsi="Arial" w:cs="Arial"/>
          <w:w w:val="0"/>
          <w:lang w:val="es-AR"/>
        </w:rPr>
      </w:pPr>
      <w:r>
        <w:rPr>
          <w:rFonts w:ascii="Arial" w:hAnsi="Arial" w:cs="Arial"/>
          <w:w w:val="0"/>
          <w:lang w:val="es-AR"/>
        </w:rPr>
        <w:t xml:space="preserve">Los ingresos netos del segmento durante el </w:t>
      </w:r>
      <w:r w:rsidR="00FE5F41">
        <w:rPr>
          <w:rFonts w:ascii="Arial" w:hAnsi="Arial" w:cs="Arial"/>
          <w:w w:val="0"/>
          <w:lang w:val="es-AR"/>
        </w:rPr>
        <w:t>segundo</w:t>
      </w:r>
      <w:r w:rsidR="001B634F">
        <w:rPr>
          <w:rFonts w:ascii="Arial" w:hAnsi="Arial" w:cs="Arial"/>
          <w:w w:val="0"/>
          <w:lang w:val="es-AR"/>
        </w:rPr>
        <w:t xml:space="preserve"> </w:t>
      </w:r>
      <w:r w:rsidR="00223C50">
        <w:rPr>
          <w:rFonts w:ascii="Arial" w:hAnsi="Arial" w:cs="Arial"/>
          <w:w w:val="0"/>
          <w:lang w:val="es-AR"/>
        </w:rPr>
        <w:t>trimestre del</w:t>
      </w:r>
      <w:r w:rsidR="00DE5B9D">
        <w:rPr>
          <w:rFonts w:ascii="Arial" w:hAnsi="Arial" w:cs="Arial"/>
          <w:w w:val="0"/>
          <w:lang w:val="es-AR"/>
        </w:rPr>
        <w:t xml:space="preserve"> </w:t>
      </w:r>
      <w:r w:rsidR="001B634F">
        <w:rPr>
          <w:rFonts w:ascii="Arial" w:hAnsi="Arial" w:cs="Arial"/>
          <w:w w:val="0"/>
          <w:lang w:val="es-AR"/>
        </w:rPr>
        <w:t>2019</w:t>
      </w:r>
      <w:r>
        <w:rPr>
          <w:rFonts w:ascii="Arial" w:hAnsi="Arial" w:cs="Arial"/>
          <w:w w:val="0"/>
          <w:lang w:val="es-AR"/>
        </w:rPr>
        <w:t xml:space="preserve"> ascendieron a </w:t>
      </w:r>
      <w:proofErr w:type="spellStart"/>
      <w:r>
        <w:rPr>
          <w:rFonts w:ascii="Arial" w:hAnsi="Arial" w:cs="Arial"/>
          <w:w w:val="0"/>
          <w:lang w:val="es-AR"/>
        </w:rPr>
        <w:t>Ps</w:t>
      </w:r>
      <w:proofErr w:type="spellEnd"/>
      <w:r>
        <w:rPr>
          <w:rFonts w:ascii="Arial" w:hAnsi="Arial" w:cs="Arial"/>
          <w:w w:val="0"/>
          <w:lang w:val="es-AR"/>
        </w:rPr>
        <w:t xml:space="preserve"> </w:t>
      </w:r>
      <w:r w:rsidR="00E23861">
        <w:rPr>
          <w:rFonts w:ascii="Arial" w:hAnsi="Arial" w:cs="Arial"/>
          <w:w w:val="0"/>
          <w:lang w:val="es-AR"/>
        </w:rPr>
        <w:t>34,2</w:t>
      </w:r>
      <w:r w:rsidR="00082B25">
        <w:rPr>
          <w:rFonts w:ascii="Arial" w:hAnsi="Arial" w:cs="Arial"/>
          <w:w w:val="0"/>
          <w:lang w:val="es-AR"/>
        </w:rPr>
        <w:t xml:space="preserve"> </w:t>
      </w:r>
      <w:r>
        <w:rPr>
          <w:rFonts w:ascii="Arial" w:hAnsi="Arial" w:cs="Arial"/>
          <w:w w:val="0"/>
          <w:lang w:val="es-AR"/>
        </w:rPr>
        <w:t xml:space="preserve">MM, reportando un incremento del </w:t>
      </w:r>
      <w:r w:rsidR="00E23861">
        <w:rPr>
          <w:rFonts w:ascii="Arial" w:hAnsi="Arial" w:cs="Arial"/>
          <w:w w:val="0"/>
          <w:lang w:val="es-AR"/>
        </w:rPr>
        <w:t>43,2</w:t>
      </w:r>
      <w:r>
        <w:rPr>
          <w:rFonts w:ascii="Arial" w:hAnsi="Arial" w:cs="Arial"/>
          <w:w w:val="0"/>
          <w:lang w:val="es-AR"/>
        </w:rPr>
        <w:t xml:space="preserve">% respecto </w:t>
      </w:r>
      <w:r w:rsidR="001B634F">
        <w:rPr>
          <w:rFonts w:ascii="Arial" w:hAnsi="Arial" w:cs="Arial"/>
          <w:w w:val="0"/>
          <w:lang w:val="es-AR"/>
        </w:rPr>
        <w:t xml:space="preserve">al trimestre del </w:t>
      </w:r>
      <w:r>
        <w:rPr>
          <w:rFonts w:ascii="Arial" w:hAnsi="Arial" w:cs="Arial"/>
          <w:w w:val="0"/>
          <w:lang w:val="es-AR"/>
        </w:rPr>
        <w:t>año anterior. Se destacan:</w:t>
      </w:r>
    </w:p>
    <w:p w14:paraId="05EA289B" w14:textId="798933E4" w:rsidR="008B6E52" w:rsidRPr="008B6E52" w:rsidRDefault="006939B6" w:rsidP="008B6E52">
      <w:pPr>
        <w:numPr>
          <w:ilvl w:val="0"/>
          <w:numId w:val="7"/>
        </w:numPr>
        <w:spacing w:before="120" w:after="0" w:line="288" w:lineRule="auto"/>
        <w:jc w:val="both"/>
        <w:rPr>
          <w:rFonts w:ascii="Arial" w:hAnsi="Arial" w:cs="Arial"/>
          <w:w w:val="0"/>
          <w:lang w:val="es-AR"/>
        </w:rPr>
      </w:pPr>
      <w:bookmarkStart w:id="88" w:name="_Hlk15483871"/>
      <w:r w:rsidRPr="006E4BFA">
        <w:rPr>
          <w:rFonts w:ascii="Arial" w:hAnsi="Arial" w:cs="Arial"/>
          <w:w w:val="0"/>
          <w:lang w:val="es-AR"/>
        </w:rPr>
        <w:t xml:space="preserve">Las ventas como productores de gas natural en el mercado interno y externo </w:t>
      </w:r>
      <w:r w:rsidR="0075193C">
        <w:rPr>
          <w:rFonts w:ascii="Arial" w:hAnsi="Arial" w:cs="Arial"/>
          <w:w w:val="0"/>
          <w:lang w:val="es-AR"/>
        </w:rPr>
        <w:t xml:space="preserve">alcanzaron </w:t>
      </w:r>
      <w:proofErr w:type="spellStart"/>
      <w:r w:rsidR="0075193C">
        <w:rPr>
          <w:rFonts w:ascii="Arial" w:hAnsi="Arial" w:cs="Arial"/>
          <w:w w:val="0"/>
          <w:lang w:val="es-AR"/>
        </w:rPr>
        <w:t>Ps</w:t>
      </w:r>
      <w:proofErr w:type="spellEnd"/>
      <w:r w:rsidR="0075193C">
        <w:rPr>
          <w:rFonts w:ascii="Arial" w:hAnsi="Arial" w:cs="Arial"/>
          <w:w w:val="0"/>
          <w:lang w:val="es-AR"/>
        </w:rPr>
        <w:t xml:space="preserve"> 2</w:t>
      </w:r>
      <w:r w:rsidR="00FD0C14">
        <w:rPr>
          <w:rFonts w:ascii="Arial" w:hAnsi="Arial" w:cs="Arial"/>
          <w:w w:val="0"/>
          <w:lang w:val="es-AR"/>
        </w:rPr>
        <w:t>2</w:t>
      </w:r>
      <w:r w:rsidR="0075193C">
        <w:rPr>
          <w:rFonts w:ascii="Arial" w:hAnsi="Arial" w:cs="Arial"/>
          <w:w w:val="0"/>
          <w:lang w:val="es-AR"/>
        </w:rPr>
        <w:t>,1</w:t>
      </w:r>
      <w:r w:rsidR="0050528B" w:rsidRPr="006E4BFA">
        <w:rPr>
          <w:rFonts w:ascii="Arial" w:hAnsi="Arial" w:cs="Arial"/>
          <w:w w:val="0"/>
          <w:lang w:val="es-AR"/>
        </w:rPr>
        <w:t xml:space="preserve"> MM siendo superiores a los </w:t>
      </w:r>
      <w:proofErr w:type="spellStart"/>
      <w:r w:rsidR="0050528B" w:rsidRPr="006E4BFA">
        <w:rPr>
          <w:rFonts w:ascii="Arial" w:hAnsi="Arial" w:cs="Arial"/>
          <w:w w:val="0"/>
          <w:lang w:val="es-AR"/>
        </w:rPr>
        <w:t>Ps</w:t>
      </w:r>
      <w:proofErr w:type="spellEnd"/>
      <w:r w:rsidR="0050528B" w:rsidRPr="006E4BFA">
        <w:rPr>
          <w:rFonts w:ascii="Arial" w:hAnsi="Arial" w:cs="Arial"/>
          <w:w w:val="0"/>
          <w:lang w:val="es-AR"/>
        </w:rPr>
        <w:t xml:space="preserve"> </w:t>
      </w:r>
      <w:r w:rsidR="00412E42" w:rsidRPr="006E4BFA">
        <w:rPr>
          <w:rFonts w:ascii="Arial" w:hAnsi="Arial" w:cs="Arial"/>
          <w:w w:val="0"/>
          <w:lang w:val="es-AR"/>
        </w:rPr>
        <w:t>15,3</w:t>
      </w:r>
      <w:r w:rsidR="0050528B" w:rsidRPr="006E4BFA">
        <w:rPr>
          <w:rFonts w:ascii="Arial" w:hAnsi="Arial" w:cs="Arial"/>
          <w:w w:val="0"/>
          <w:lang w:val="es-AR"/>
        </w:rPr>
        <w:t xml:space="preserve"> MM del </w:t>
      </w:r>
      <w:r w:rsidR="00FE5F41" w:rsidRPr="006E4BFA">
        <w:rPr>
          <w:rFonts w:ascii="Arial" w:hAnsi="Arial" w:cs="Arial"/>
          <w:w w:val="0"/>
          <w:lang w:val="es-AR"/>
        </w:rPr>
        <w:t>segundo</w:t>
      </w:r>
      <w:r w:rsidR="00412E42" w:rsidRPr="006E4BFA">
        <w:rPr>
          <w:rFonts w:ascii="Arial" w:hAnsi="Arial" w:cs="Arial"/>
          <w:w w:val="0"/>
          <w:lang w:val="es-AR"/>
        </w:rPr>
        <w:t xml:space="preserve"> trimestre 2018 en </w:t>
      </w:r>
      <w:proofErr w:type="spellStart"/>
      <w:r w:rsidR="00412E42" w:rsidRPr="006E4BFA">
        <w:rPr>
          <w:rFonts w:ascii="Arial" w:hAnsi="Arial" w:cs="Arial"/>
          <w:w w:val="0"/>
          <w:lang w:val="es-AR"/>
        </w:rPr>
        <w:t>Ps</w:t>
      </w:r>
      <w:proofErr w:type="spellEnd"/>
      <w:r w:rsidR="00412E42" w:rsidRPr="006E4BFA">
        <w:rPr>
          <w:rFonts w:ascii="Arial" w:hAnsi="Arial" w:cs="Arial"/>
          <w:w w:val="0"/>
          <w:lang w:val="es-AR"/>
        </w:rPr>
        <w:t xml:space="preserve"> </w:t>
      </w:r>
      <w:r w:rsidR="00FD0C14">
        <w:rPr>
          <w:rFonts w:ascii="Arial" w:hAnsi="Arial" w:cs="Arial"/>
          <w:w w:val="0"/>
          <w:lang w:val="es-AR"/>
        </w:rPr>
        <w:t>6</w:t>
      </w:r>
      <w:r w:rsidR="00EE7DFD">
        <w:rPr>
          <w:rFonts w:ascii="Arial" w:hAnsi="Arial" w:cs="Arial"/>
          <w:w w:val="0"/>
          <w:lang w:val="es-AR"/>
        </w:rPr>
        <w:t>,8</w:t>
      </w:r>
      <w:r w:rsidR="00412E42" w:rsidRPr="006E4BFA">
        <w:rPr>
          <w:rFonts w:ascii="Arial" w:hAnsi="Arial" w:cs="Arial"/>
          <w:w w:val="0"/>
          <w:lang w:val="es-AR"/>
        </w:rPr>
        <w:t xml:space="preserve"> </w:t>
      </w:r>
      <w:bookmarkEnd w:id="88"/>
      <w:r w:rsidR="0050528B" w:rsidRPr="006E4BFA">
        <w:rPr>
          <w:rFonts w:ascii="Arial" w:hAnsi="Arial" w:cs="Arial"/>
          <w:w w:val="0"/>
          <w:lang w:val="es-AR"/>
        </w:rPr>
        <w:t>MM</w:t>
      </w:r>
      <w:r w:rsidR="00373C65" w:rsidRPr="006E4BFA">
        <w:rPr>
          <w:rFonts w:ascii="Arial" w:hAnsi="Arial" w:cs="Arial"/>
          <w:w w:val="0"/>
          <w:lang w:val="es-AR"/>
        </w:rPr>
        <w:t>,</w:t>
      </w:r>
      <w:r w:rsidR="0050528B" w:rsidRPr="006E4BFA">
        <w:rPr>
          <w:rFonts w:ascii="Arial" w:hAnsi="Arial" w:cs="Arial"/>
          <w:w w:val="0"/>
          <w:lang w:val="es-AR"/>
        </w:rPr>
        <w:t xml:space="preserve"> o </w:t>
      </w:r>
      <w:r w:rsidR="00FD0C14">
        <w:rPr>
          <w:rFonts w:ascii="Arial" w:hAnsi="Arial" w:cs="Arial"/>
          <w:w w:val="0"/>
          <w:lang w:val="es-AR"/>
        </w:rPr>
        <w:t>44,9</w:t>
      </w:r>
      <w:r w:rsidR="0050528B" w:rsidRPr="006E4BFA">
        <w:rPr>
          <w:rFonts w:ascii="Arial" w:hAnsi="Arial" w:cs="Arial"/>
          <w:w w:val="0"/>
          <w:lang w:val="es-AR"/>
        </w:rPr>
        <w:t xml:space="preserve">%, </w:t>
      </w:r>
      <w:r w:rsidRPr="006E4BFA">
        <w:rPr>
          <w:rFonts w:ascii="Arial" w:hAnsi="Arial" w:cs="Arial"/>
          <w:w w:val="0"/>
          <w:lang w:val="es-AR"/>
        </w:rPr>
        <w:t xml:space="preserve">como consecuencia de un incremento en el precio promedio de </w:t>
      </w:r>
      <w:r w:rsidR="00FD0C14">
        <w:rPr>
          <w:rFonts w:ascii="Arial" w:hAnsi="Arial" w:cs="Arial"/>
          <w:w w:val="0"/>
          <w:lang w:val="es-AR"/>
        </w:rPr>
        <w:t>62,2</w:t>
      </w:r>
      <w:r w:rsidRPr="006E4BFA">
        <w:rPr>
          <w:rFonts w:ascii="Arial" w:hAnsi="Arial" w:cs="Arial"/>
          <w:w w:val="0"/>
          <w:lang w:val="es-AR"/>
        </w:rPr>
        <w:t>% en pesos</w:t>
      </w:r>
      <w:r w:rsidR="00E6060F" w:rsidRPr="006E4BFA">
        <w:rPr>
          <w:rFonts w:ascii="Arial" w:hAnsi="Arial" w:cs="Arial"/>
          <w:w w:val="0"/>
          <w:lang w:val="es-AR"/>
        </w:rPr>
        <w:t xml:space="preserve">, </w:t>
      </w:r>
      <w:r w:rsidRPr="006E4BFA">
        <w:rPr>
          <w:rFonts w:ascii="Arial" w:hAnsi="Arial" w:cs="Arial"/>
          <w:w w:val="0"/>
          <w:lang w:val="es-AR"/>
        </w:rPr>
        <w:t>compe</w:t>
      </w:r>
      <w:r w:rsidR="00412E42" w:rsidRPr="006E4BFA">
        <w:rPr>
          <w:rFonts w:ascii="Arial" w:hAnsi="Arial" w:cs="Arial"/>
          <w:w w:val="0"/>
          <w:lang w:val="es-AR"/>
        </w:rPr>
        <w:t>nsado con una reducción del 10,7</w:t>
      </w:r>
      <w:r w:rsidRPr="006E4BFA">
        <w:rPr>
          <w:rFonts w:ascii="Arial" w:hAnsi="Arial" w:cs="Arial"/>
          <w:w w:val="0"/>
          <w:lang w:val="es-AR"/>
        </w:rPr>
        <w:t xml:space="preserve">% en el volumen vendido. </w:t>
      </w:r>
      <w:r w:rsidR="008B6E52" w:rsidRPr="00B14FDD">
        <w:rPr>
          <w:rFonts w:ascii="Arial" w:hAnsi="Arial" w:cs="Arial"/>
          <w:lang w:val="es-AR"/>
        </w:rPr>
        <w:t>Esta reducción se explica por el exceso de oferta de</w:t>
      </w:r>
      <w:r w:rsidR="008B6E52" w:rsidRPr="004B1471">
        <w:rPr>
          <w:rFonts w:ascii="Arial" w:hAnsi="Arial" w:cs="Arial"/>
          <w:lang w:val="es-AR"/>
        </w:rPr>
        <w:t xml:space="preserve"> gas frente a la demanda doméstica, lo cual impactó en la producción de gas natural </w:t>
      </w:r>
      <w:proofErr w:type="gramStart"/>
      <w:r w:rsidR="008B6E52" w:rsidRPr="004B1471">
        <w:rPr>
          <w:rFonts w:ascii="Arial" w:hAnsi="Arial" w:cs="Arial"/>
          <w:lang w:val="es-AR"/>
        </w:rPr>
        <w:t>y</w:t>
      </w:r>
      <w:proofErr w:type="gramEnd"/>
      <w:r w:rsidR="008B6E52" w:rsidRPr="004B1471">
        <w:rPr>
          <w:rFonts w:ascii="Arial" w:hAnsi="Arial" w:cs="Arial"/>
          <w:lang w:val="es-AR"/>
        </w:rPr>
        <w:t xml:space="preserve"> por consiguiente</w:t>
      </w:r>
      <w:r w:rsidR="00CE4018">
        <w:rPr>
          <w:rFonts w:ascii="Arial" w:hAnsi="Arial" w:cs="Arial"/>
          <w:lang w:val="es-AR"/>
        </w:rPr>
        <w:t>,</w:t>
      </w:r>
      <w:r w:rsidR="008B6E52" w:rsidRPr="004B1471">
        <w:rPr>
          <w:rFonts w:ascii="Arial" w:hAnsi="Arial" w:cs="Arial"/>
          <w:lang w:val="es-AR"/>
        </w:rPr>
        <w:t xml:space="preserve"> afectó negativamente los volúmenes despachados</w:t>
      </w:r>
      <w:r w:rsidR="008B6E52">
        <w:rPr>
          <w:rFonts w:ascii="Arial" w:hAnsi="Arial" w:cs="Arial"/>
          <w:lang w:val="es-AR"/>
        </w:rPr>
        <w:t xml:space="preserve"> durante el segundo trimestre de 2019</w:t>
      </w:r>
      <w:r w:rsidR="00960515">
        <w:rPr>
          <w:rFonts w:ascii="Arial" w:hAnsi="Arial" w:cs="Arial"/>
          <w:lang w:val="es-AR"/>
        </w:rPr>
        <w:t>;</w:t>
      </w:r>
      <w:r w:rsidR="008B6E52">
        <w:rPr>
          <w:rFonts w:ascii="Arial" w:hAnsi="Arial" w:cs="Arial"/>
          <w:w w:val="0"/>
          <w:lang w:val="es-AR"/>
        </w:rPr>
        <w:t xml:space="preserve"> </w:t>
      </w:r>
    </w:p>
    <w:p w14:paraId="54126CDC" w14:textId="38DB74FF" w:rsidR="003C5C5B" w:rsidRPr="003C5C5B" w:rsidRDefault="00416388" w:rsidP="003C5C5B">
      <w:pPr>
        <w:numPr>
          <w:ilvl w:val="0"/>
          <w:numId w:val="7"/>
        </w:numPr>
        <w:spacing w:before="120" w:after="0" w:line="288" w:lineRule="auto"/>
        <w:jc w:val="both"/>
        <w:rPr>
          <w:rFonts w:ascii="Arial" w:hAnsi="Arial" w:cs="Arial"/>
          <w:w w:val="0"/>
          <w:lang w:val="es-AR"/>
        </w:rPr>
      </w:pPr>
      <w:r w:rsidRPr="0058416B">
        <w:rPr>
          <w:rFonts w:ascii="Arial" w:hAnsi="Arial" w:cs="Arial"/>
          <w:w w:val="0"/>
          <w:lang w:val="es-AR"/>
        </w:rPr>
        <w:t>Las ventas de gas natural al segmento minorista</w:t>
      </w:r>
      <w:r w:rsidR="006C662B">
        <w:rPr>
          <w:rFonts w:ascii="Arial" w:hAnsi="Arial" w:cs="Arial"/>
          <w:w w:val="0"/>
          <w:lang w:val="es-AR"/>
        </w:rPr>
        <w:t xml:space="preserve"> </w:t>
      </w:r>
      <w:r w:rsidRPr="0058416B">
        <w:rPr>
          <w:rFonts w:ascii="Arial" w:hAnsi="Arial" w:cs="Arial"/>
          <w:w w:val="0"/>
          <w:lang w:val="es-AR"/>
        </w:rPr>
        <w:t xml:space="preserve">(clientes residenciales y pequeñas industrias y comercios) </w:t>
      </w:r>
      <w:r w:rsidR="00C35CD6">
        <w:rPr>
          <w:rFonts w:ascii="Arial" w:hAnsi="Arial" w:cs="Arial"/>
          <w:w w:val="0"/>
          <w:lang w:val="es-AR"/>
        </w:rPr>
        <w:t xml:space="preserve">totalizaron </w:t>
      </w:r>
      <w:proofErr w:type="spellStart"/>
      <w:r w:rsidR="00C35CD6">
        <w:rPr>
          <w:rFonts w:ascii="Arial" w:hAnsi="Arial" w:cs="Arial"/>
          <w:w w:val="0"/>
          <w:lang w:val="es-AR"/>
        </w:rPr>
        <w:t>Ps</w:t>
      </w:r>
      <w:proofErr w:type="spellEnd"/>
      <w:r w:rsidR="00C35CD6">
        <w:rPr>
          <w:rFonts w:ascii="Arial" w:hAnsi="Arial" w:cs="Arial"/>
          <w:w w:val="0"/>
          <w:lang w:val="es-AR"/>
        </w:rPr>
        <w:t xml:space="preserve"> 9,7</w:t>
      </w:r>
      <w:r w:rsidR="0050528B">
        <w:rPr>
          <w:rFonts w:ascii="Arial" w:hAnsi="Arial" w:cs="Arial"/>
          <w:w w:val="0"/>
          <w:lang w:val="es-AR"/>
        </w:rPr>
        <w:t xml:space="preserve"> MM, lo que representa un incremento de </w:t>
      </w:r>
      <w:proofErr w:type="spellStart"/>
      <w:r w:rsidR="00C35CD6">
        <w:rPr>
          <w:rFonts w:ascii="Arial" w:hAnsi="Arial" w:cs="Arial"/>
          <w:w w:val="0"/>
          <w:lang w:val="es-AR"/>
        </w:rPr>
        <w:t>Ps</w:t>
      </w:r>
      <w:proofErr w:type="spellEnd"/>
      <w:r w:rsidR="00C35CD6">
        <w:rPr>
          <w:rFonts w:ascii="Arial" w:hAnsi="Arial" w:cs="Arial"/>
          <w:w w:val="0"/>
          <w:lang w:val="es-AR"/>
        </w:rPr>
        <w:t xml:space="preserve"> 4,3</w:t>
      </w:r>
      <w:r>
        <w:rPr>
          <w:rFonts w:ascii="Arial" w:hAnsi="Arial" w:cs="Arial"/>
          <w:w w:val="0"/>
          <w:lang w:val="es-AR"/>
        </w:rPr>
        <w:t xml:space="preserve"> MM</w:t>
      </w:r>
      <w:r w:rsidR="00C35CD6">
        <w:rPr>
          <w:rFonts w:ascii="Arial" w:hAnsi="Arial" w:cs="Arial"/>
          <w:w w:val="0"/>
          <w:lang w:val="es-AR"/>
        </w:rPr>
        <w:t>, o 80,4</w:t>
      </w:r>
      <w:r w:rsidRPr="0058416B">
        <w:rPr>
          <w:rFonts w:ascii="Arial" w:hAnsi="Arial" w:cs="Arial"/>
          <w:w w:val="0"/>
          <w:lang w:val="es-AR"/>
        </w:rPr>
        <w:t>%</w:t>
      </w:r>
      <w:r w:rsidR="00C35CD6">
        <w:rPr>
          <w:rFonts w:ascii="Arial" w:hAnsi="Arial" w:cs="Arial"/>
          <w:w w:val="0"/>
          <w:lang w:val="es-AR"/>
        </w:rPr>
        <w:t xml:space="preserve"> en comparación a los </w:t>
      </w:r>
      <w:proofErr w:type="spellStart"/>
      <w:r w:rsidR="00C35CD6">
        <w:rPr>
          <w:rFonts w:ascii="Arial" w:hAnsi="Arial" w:cs="Arial"/>
          <w:w w:val="0"/>
          <w:lang w:val="es-AR"/>
        </w:rPr>
        <w:t>Ps</w:t>
      </w:r>
      <w:proofErr w:type="spellEnd"/>
      <w:r w:rsidR="00C35CD6">
        <w:rPr>
          <w:rFonts w:ascii="Arial" w:hAnsi="Arial" w:cs="Arial"/>
          <w:w w:val="0"/>
          <w:lang w:val="es-AR"/>
        </w:rPr>
        <w:t xml:space="preserve"> 5,4</w:t>
      </w:r>
      <w:r w:rsidR="0050528B">
        <w:rPr>
          <w:rFonts w:ascii="Arial" w:hAnsi="Arial" w:cs="Arial"/>
          <w:w w:val="0"/>
          <w:lang w:val="es-AR"/>
        </w:rPr>
        <w:t xml:space="preserve"> MM del </w:t>
      </w:r>
      <w:r w:rsidR="00E46D45">
        <w:rPr>
          <w:rFonts w:ascii="Arial" w:hAnsi="Arial" w:cs="Arial"/>
          <w:w w:val="0"/>
          <w:lang w:val="es-AR"/>
        </w:rPr>
        <w:t xml:space="preserve">segundo </w:t>
      </w:r>
      <w:r w:rsidR="0050528B">
        <w:rPr>
          <w:rFonts w:ascii="Arial" w:hAnsi="Arial" w:cs="Arial"/>
          <w:w w:val="0"/>
          <w:lang w:val="es-AR"/>
        </w:rPr>
        <w:t>trimestre de 2018</w:t>
      </w:r>
      <w:r w:rsidR="006C662B">
        <w:rPr>
          <w:rFonts w:ascii="Arial" w:hAnsi="Arial" w:cs="Arial"/>
          <w:w w:val="0"/>
          <w:lang w:val="es-AR"/>
        </w:rPr>
        <w:t xml:space="preserve">. </w:t>
      </w:r>
      <w:r w:rsidR="006C662B" w:rsidRPr="006C662B">
        <w:rPr>
          <w:rFonts w:ascii="Arial" w:hAnsi="Arial" w:cs="Arial"/>
          <w:w w:val="0"/>
          <w:lang w:val="es-AR"/>
        </w:rPr>
        <w:t>Este incremento se explica principalmente por nuestra compañía controlada Metrogas S.A., que por ser moneda funcional peso y en base a las normas locales vigentes</w:t>
      </w:r>
      <w:r w:rsidR="006C662B">
        <w:rPr>
          <w:rFonts w:ascii="Arial" w:hAnsi="Arial" w:cs="Arial"/>
          <w:w w:val="0"/>
          <w:lang w:val="es-AR"/>
        </w:rPr>
        <w:t>, registró en sus</w:t>
      </w:r>
      <w:r w:rsidRPr="0058416B">
        <w:rPr>
          <w:rFonts w:ascii="Arial" w:hAnsi="Arial" w:cs="Arial"/>
          <w:w w:val="0"/>
          <w:lang w:val="es-AR"/>
        </w:rPr>
        <w:t xml:space="preserve"> ventas un ajuste por inflación de </w:t>
      </w:r>
      <w:proofErr w:type="spellStart"/>
      <w:r w:rsidR="000529BA">
        <w:rPr>
          <w:rFonts w:ascii="Arial" w:hAnsi="Arial" w:cs="Arial"/>
          <w:w w:val="0"/>
          <w:lang w:val="es-AR"/>
        </w:rPr>
        <w:t>Ps</w:t>
      </w:r>
      <w:proofErr w:type="spellEnd"/>
      <w:r w:rsidR="00C35CD6">
        <w:rPr>
          <w:rFonts w:ascii="Arial" w:hAnsi="Arial" w:cs="Arial"/>
          <w:w w:val="0"/>
          <w:lang w:val="es-AR"/>
        </w:rPr>
        <w:t xml:space="preserve"> 0,9 </w:t>
      </w:r>
      <w:r>
        <w:rPr>
          <w:rFonts w:ascii="Arial" w:hAnsi="Arial" w:cs="Arial"/>
          <w:w w:val="0"/>
          <w:lang w:val="es-AR"/>
        </w:rPr>
        <w:t>MM</w:t>
      </w:r>
      <w:r w:rsidR="006C662B">
        <w:rPr>
          <w:rFonts w:ascii="Arial" w:hAnsi="Arial" w:cs="Arial"/>
          <w:w w:val="0"/>
          <w:lang w:val="es-AR"/>
        </w:rPr>
        <w:t>.</w:t>
      </w:r>
      <w:r w:rsidRPr="0058416B">
        <w:rPr>
          <w:rFonts w:ascii="Arial" w:hAnsi="Arial" w:cs="Arial"/>
          <w:w w:val="0"/>
          <w:lang w:val="es-AR"/>
        </w:rPr>
        <w:t xml:space="preserve"> </w:t>
      </w:r>
      <w:r w:rsidR="006C662B">
        <w:rPr>
          <w:rFonts w:ascii="Arial" w:hAnsi="Arial" w:cs="Arial"/>
          <w:w w:val="0"/>
          <w:lang w:val="es-AR"/>
        </w:rPr>
        <w:t>Adicionalmente</w:t>
      </w:r>
      <w:r w:rsidR="00CE4018">
        <w:rPr>
          <w:rFonts w:ascii="Arial" w:hAnsi="Arial" w:cs="Arial"/>
          <w:w w:val="0"/>
          <w:lang w:val="es-AR"/>
        </w:rPr>
        <w:t>,</w:t>
      </w:r>
      <w:r w:rsidR="006C662B">
        <w:rPr>
          <w:rFonts w:ascii="Arial" w:hAnsi="Arial" w:cs="Arial"/>
          <w:w w:val="0"/>
          <w:lang w:val="es-AR"/>
        </w:rPr>
        <w:t xml:space="preserve"> obtuvo </w:t>
      </w:r>
      <w:r w:rsidRPr="0058416B">
        <w:rPr>
          <w:rFonts w:ascii="Arial" w:hAnsi="Arial" w:cs="Arial"/>
          <w:w w:val="0"/>
          <w:lang w:val="es-AR"/>
        </w:rPr>
        <w:t>un incr</w:t>
      </w:r>
      <w:r w:rsidR="00C35CD6">
        <w:rPr>
          <w:rFonts w:ascii="Arial" w:hAnsi="Arial" w:cs="Arial"/>
          <w:w w:val="0"/>
          <w:lang w:val="es-AR"/>
        </w:rPr>
        <w:t xml:space="preserve">emento del precio promedio de 38,1%, y un incremento </w:t>
      </w:r>
      <w:r w:rsidR="00C35CD6" w:rsidRPr="004D0850">
        <w:rPr>
          <w:rFonts w:ascii="Arial" w:hAnsi="Arial" w:cs="Arial"/>
          <w:w w:val="0"/>
          <w:lang w:val="es-AR"/>
        </w:rPr>
        <w:t>del 23,1</w:t>
      </w:r>
      <w:r w:rsidRPr="004D0850">
        <w:rPr>
          <w:rFonts w:ascii="Arial" w:hAnsi="Arial" w:cs="Arial"/>
          <w:w w:val="0"/>
          <w:lang w:val="es-AR"/>
        </w:rPr>
        <w:t>% en los volúmenes comercializados a través de su red de distribución</w:t>
      </w:r>
      <w:r w:rsidR="00B10FD3">
        <w:rPr>
          <w:rFonts w:ascii="Arial" w:hAnsi="Arial" w:cs="Arial"/>
          <w:w w:val="0"/>
          <w:lang w:val="es-AR"/>
        </w:rPr>
        <w:t>.</w:t>
      </w:r>
    </w:p>
    <w:p w14:paraId="3C8F520F" w14:textId="2DD7C3F6" w:rsidR="00416388" w:rsidRDefault="00416388" w:rsidP="002A570B">
      <w:pPr>
        <w:spacing w:after="120" w:line="288" w:lineRule="auto"/>
        <w:jc w:val="both"/>
        <w:rPr>
          <w:rFonts w:ascii="Arial" w:hAnsi="Arial" w:cs="Arial"/>
          <w:w w:val="0"/>
          <w:lang w:val="es-AR"/>
        </w:rPr>
      </w:pPr>
    </w:p>
    <w:p w14:paraId="5F4B98E9" w14:textId="1E4B67F7" w:rsidR="00416388" w:rsidRPr="00904FA9" w:rsidRDefault="00416388" w:rsidP="0058416B">
      <w:pPr>
        <w:spacing w:after="120" w:line="288" w:lineRule="auto"/>
        <w:jc w:val="both"/>
        <w:rPr>
          <w:rFonts w:ascii="Arial" w:hAnsi="Arial" w:cs="Arial"/>
          <w:w w:val="0"/>
          <w:lang w:val="es-AR"/>
        </w:rPr>
      </w:pPr>
      <w:r w:rsidRPr="0058416B">
        <w:rPr>
          <w:rFonts w:ascii="Arial" w:hAnsi="Arial" w:cs="Arial"/>
          <w:w w:val="0"/>
          <w:lang w:val="es-AR"/>
        </w:rPr>
        <w:t>En materi</w:t>
      </w:r>
      <w:r w:rsidRPr="00904FA9">
        <w:rPr>
          <w:rFonts w:ascii="Arial" w:hAnsi="Arial" w:cs="Arial"/>
          <w:w w:val="0"/>
          <w:lang w:val="es-AR"/>
        </w:rPr>
        <w:t xml:space="preserve">a de los costos operativos totales se observó durante el </w:t>
      </w:r>
      <w:r w:rsidR="00FE5F41" w:rsidRPr="00904FA9">
        <w:rPr>
          <w:rFonts w:ascii="Arial" w:hAnsi="Arial" w:cs="Arial"/>
          <w:w w:val="0"/>
          <w:lang w:val="es-AR"/>
        </w:rPr>
        <w:t>segundo</w:t>
      </w:r>
      <w:r w:rsidRPr="00904FA9">
        <w:rPr>
          <w:rFonts w:ascii="Arial" w:hAnsi="Arial" w:cs="Arial"/>
          <w:w w:val="0"/>
          <w:lang w:val="es-AR"/>
        </w:rPr>
        <w:t xml:space="preserve"> trimestre de 2019 un incremento del </w:t>
      </w:r>
      <w:r w:rsidR="00E6060F" w:rsidRPr="00904FA9">
        <w:rPr>
          <w:rFonts w:ascii="Arial" w:hAnsi="Arial" w:cs="Arial"/>
          <w:w w:val="0"/>
          <w:lang w:val="es-AR"/>
        </w:rPr>
        <w:t>3</w:t>
      </w:r>
      <w:r w:rsidR="00904FA9" w:rsidRPr="00904FA9">
        <w:rPr>
          <w:rFonts w:ascii="Arial" w:hAnsi="Arial" w:cs="Arial"/>
          <w:w w:val="0"/>
          <w:lang w:val="es-AR"/>
        </w:rPr>
        <w:t>9,7</w:t>
      </w:r>
      <w:r w:rsidRPr="00904FA9">
        <w:rPr>
          <w:rFonts w:ascii="Arial" w:hAnsi="Arial" w:cs="Arial"/>
          <w:w w:val="0"/>
          <w:lang w:val="es-AR"/>
        </w:rPr>
        <w:t xml:space="preserve">%, alcanzando los </w:t>
      </w:r>
      <w:proofErr w:type="spellStart"/>
      <w:r w:rsidR="00E31865" w:rsidRPr="00904FA9">
        <w:rPr>
          <w:rFonts w:ascii="Arial" w:hAnsi="Arial" w:cs="Arial"/>
          <w:w w:val="0"/>
          <w:lang w:val="es-AR"/>
        </w:rPr>
        <w:t>Ps</w:t>
      </w:r>
      <w:proofErr w:type="spellEnd"/>
      <w:r w:rsidR="00E31865" w:rsidRPr="00904FA9">
        <w:rPr>
          <w:rFonts w:ascii="Arial" w:hAnsi="Arial" w:cs="Arial"/>
          <w:w w:val="0"/>
          <w:lang w:val="es-AR"/>
        </w:rPr>
        <w:t xml:space="preserve"> 30,9</w:t>
      </w:r>
      <w:r w:rsidRPr="00904FA9">
        <w:rPr>
          <w:rFonts w:ascii="Arial" w:hAnsi="Arial" w:cs="Arial"/>
          <w:w w:val="0"/>
          <w:lang w:val="es-AR"/>
        </w:rPr>
        <w:t xml:space="preserve"> MM comparado con los </w:t>
      </w:r>
      <w:proofErr w:type="spellStart"/>
      <w:r w:rsidR="00904FA9" w:rsidRPr="00904FA9">
        <w:rPr>
          <w:rFonts w:ascii="Arial" w:hAnsi="Arial" w:cs="Arial"/>
          <w:w w:val="0"/>
          <w:lang w:val="es-AR"/>
        </w:rPr>
        <w:t>Ps</w:t>
      </w:r>
      <w:proofErr w:type="spellEnd"/>
      <w:r w:rsidR="00904FA9" w:rsidRPr="00904FA9">
        <w:rPr>
          <w:rFonts w:ascii="Arial" w:hAnsi="Arial" w:cs="Arial"/>
          <w:w w:val="0"/>
          <w:lang w:val="es-AR"/>
        </w:rPr>
        <w:t xml:space="preserve"> 22,1</w:t>
      </w:r>
      <w:r w:rsidRPr="00904FA9">
        <w:rPr>
          <w:rFonts w:ascii="Arial" w:hAnsi="Arial" w:cs="Arial"/>
          <w:w w:val="0"/>
          <w:lang w:val="es-AR"/>
        </w:rPr>
        <w:t xml:space="preserve"> MM durante el mismo trimestre de 2018. Se destacan dentro de esta variación:</w:t>
      </w:r>
    </w:p>
    <w:p w14:paraId="24101AB7" w14:textId="057FAFA8" w:rsidR="00E6060F" w:rsidRPr="00904FA9" w:rsidRDefault="00CF2DA4" w:rsidP="00E6060F">
      <w:pPr>
        <w:pStyle w:val="ListParagraph"/>
        <w:numPr>
          <w:ilvl w:val="0"/>
          <w:numId w:val="7"/>
        </w:numPr>
        <w:spacing w:after="120" w:line="288" w:lineRule="auto"/>
        <w:ind w:hanging="357"/>
        <w:contextualSpacing w:val="0"/>
        <w:jc w:val="both"/>
        <w:rPr>
          <w:rFonts w:ascii="Arial" w:hAnsi="Arial" w:cs="Arial"/>
          <w:w w:val="0"/>
          <w:lang w:val="es-AR"/>
        </w:rPr>
      </w:pPr>
      <w:r w:rsidRPr="00904FA9">
        <w:rPr>
          <w:rFonts w:ascii="Arial" w:hAnsi="Arial" w:cs="Arial"/>
          <w:w w:val="0"/>
          <w:lang w:val="es-AR"/>
        </w:rPr>
        <w:t>L</w:t>
      </w:r>
      <w:r w:rsidR="00E6060F" w:rsidRPr="00904FA9">
        <w:rPr>
          <w:rFonts w:ascii="Arial" w:hAnsi="Arial" w:cs="Arial"/>
          <w:w w:val="0"/>
          <w:lang w:val="es-AR"/>
        </w:rPr>
        <w:t xml:space="preserve">as compras de gas natural </w:t>
      </w:r>
      <w:r w:rsidR="00904FA9">
        <w:rPr>
          <w:rFonts w:ascii="Arial" w:hAnsi="Arial" w:cs="Arial"/>
          <w:w w:val="0"/>
          <w:lang w:val="es-AR"/>
        </w:rPr>
        <w:t xml:space="preserve">alcanzaron </w:t>
      </w:r>
      <w:proofErr w:type="spellStart"/>
      <w:r w:rsidR="00904FA9">
        <w:rPr>
          <w:rFonts w:ascii="Arial" w:hAnsi="Arial" w:cs="Arial"/>
          <w:w w:val="0"/>
          <w:lang w:val="es-AR"/>
        </w:rPr>
        <w:t>Ps</w:t>
      </w:r>
      <w:proofErr w:type="spellEnd"/>
      <w:r w:rsidR="00904FA9">
        <w:rPr>
          <w:rFonts w:ascii="Arial" w:hAnsi="Arial" w:cs="Arial"/>
          <w:w w:val="0"/>
          <w:lang w:val="es-AR"/>
        </w:rPr>
        <w:t xml:space="preserve"> 22,2</w:t>
      </w:r>
      <w:r w:rsidRPr="00904FA9">
        <w:rPr>
          <w:rFonts w:ascii="Arial" w:hAnsi="Arial" w:cs="Arial"/>
          <w:w w:val="0"/>
          <w:lang w:val="es-AR"/>
        </w:rPr>
        <w:t xml:space="preserve"> MM, mostrando un incremento de </w:t>
      </w:r>
      <w:proofErr w:type="spellStart"/>
      <w:r w:rsidR="00060E4D">
        <w:rPr>
          <w:rFonts w:ascii="Arial" w:hAnsi="Arial" w:cs="Arial"/>
          <w:w w:val="0"/>
          <w:lang w:val="es-AR"/>
        </w:rPr>
        <w:t>Ps</w:t>
      </w:r>
      <w:proofErr w:type="spellEnd"/>
      <w:r w:rsidR="00060E4D">
        <w:rPr>
          <w:rFonts w:ascii="Arial" w:hAnsi="Arial" w:cs="Arial"/>
          <w:w w:val="0"/>
          <w:lang w:val="es-AR"/>
        </w:rPr>
        <w:t xml:space="preserve"> 5,9</w:t>
      </w:r>
      <w:r w:rsidR="00E6060F" w:rsidRPr="00904FA9">
        <w:rPr>
          <w:rFonts w:ascii="Arial" w:hAnsi="Arial" w:cs="Arial"/>
          <w:w w:val="0"/>
          <w:lang w:val="es-AR"/>
        </w:rPr>
        <w:t xml:space="preserve"> MM</w:t>
      </w:r>
      <w:r w:rsidR="00904FA9">
        <w:rPr>
          <w:rFonts w:ascii="Arial" w:hAnsi="Arial" w:cs="Arial"/>
          <w:w w:val="0"/>
          <w:lang w:val="es-AR"/>
        </w:rPr>
        <w:t xml:space="preserve"> o 36,6</w:t>
      </w:r>
      <w:r w:rsidR="00E6060F" w:rsidRPr="00904FA9">
        <w:rPr>
          <w:rFonts w:ascii="Arial" w:hAnsi="Arial" w:cs="Arial"/>
          <w:w w:val="0"/>
          <w:lang w:val="es-AR"/>
        </w:rPr>
        <w:t>%</w:t>
      </w:r>
      <w:r w:rsidR="00904FA9">
        <w:rPr>
          <w:rFonts w:ascii="Arial" w:hAnsi="Arial" w:cs="Arial"/>
          <w:w w:val="0"/>
          <w:lang w:val="es-AR"/>
        </w:rPr>
        <w:t xml:space="preserve"> en </w:t>
      </w:r>
      <w:r w:rsidR="00904FA9" w:rsidRPr="002210F2">
        <w:rPr>
          <w:rFonts w:ascii="Arial" w:hAnsi="Arial" w:cs="Arial"/>
          <w:w w:val="0"/>
          <w:lang w:val="es-AR"/>
        </w:rPr>
        <w:t xml:space="preserve">comparación a los </w:t>
      </w:r>
      <w:proofErr w:type="spellStart"/>
      <w:r w:rsidR="00904FA9" w:rsidRPr="002210F2">
        <w:rPr>
          <w:rFonts w:ascii="Arial" w:hAnsi="Arial" w:cs="Arial"/>
          <w:w w:val="0"/>
          <w:lang w:val="es-AR"/>
        </w:rPr>
        <w:t>Ps</w:t>
      </w:r>
      <w:proofErr w:type="spellEnd"/>
      <w:r w:rsidR="00904FA9" w:rsidRPr="002210F2">
        <w:rPr>
          <w:rFonts w:ascii="Arial" w:hAnsi="Arial" w:cs="Arial"/>
          <w:w w:val="0"/>
          <w:lang w:val="es-AR"/>
        </w:rPr>
        <w:t xml:space="preserve"> 16,3</w:t>
      </w:r>
      <w:r w:rsidRPr="002210F2">
        <w:rPr>
          <w:rFonts w:ascii="Arial" w:hAnsi="Arial" w:cs="Arial"/>
          <w:w w:val="0"/>
          <w:lang w:val="es-AR"/>
        </w:rPr>
        <w:t xml:space="preserve"> MM del </w:t>
      </w:r>
      <w:r w:rsidR="008F506D" w:rsidRPr="002210F2">
        <w:rPr>
          <w:rFonts w:ascii="Arial" w:hAnsi="Arial" w:cs="Arial"/>
          <w:w w:val="0"/>
          <w:lang w:val="es-AR"/>
        </w:rPr>
        <w:t>segundo</w:t>
      </w:r>
      <w:r w:rsidRPr="00904FA9">
        <w:rPr>
          <w:rFonts w:ascii="Arial" w:hAnsi="Arial" w:cs="Arial"/>
          <w:w w:val="0"/>
          <w:lang w:val="es-AR"/>
        </w:rPr>
        <w:t xml:space="preserve"> trimestre de 2018</w:t>
      </w:r>
      <w:r w:rsidR="004D0850">
        <w:rPr>
          <w:rFonts w:ascii="Arial" w:hAnsi="Arial" w:cs="Arial"/>
          <w:w w:val="0"/>
          <w:lang w:val="es-AR"/>
        </w:rPr>
        <w:t>. Se observó una suba de 5</w:t>
      </w:r>
      <w:r w:rsidR="00F55245">
        <w:rPr>
          <w:rFonts w:ascii="Arial" w:hAnsi="Arial" w:cs="Arial"/>
          <w:w w:val="0"/>
          <w:lang w:val="es-AR"/>
        </w:rPr>
        <w:t>6,0</w:t>
      </w:r>
      <w:r w:rsidR="00E6060F" w:rsidRPr="00904FA9">
        <w:rPr>
          <w:rFonts w:ascii="Arial" w:hAnsi="Arial" w:cs="Arial"/>
          <w:w w:val="0"/>
          <w:lang w:val="es-AR"/>
        </w:rPr>
        <w:t>% en los precios del gas natural expresado en pesos, principalmente debido a la devaluación acaecida. A su vez, el volumen comprado a ter</w:t>
      </w:r>
      <w:r w:rsidR="00904FA9">
        <w:rPr>
          <w:rFonts w:ascii="Arial" w:hAnsi="Arial" w:cs="Arial"/>
          <w:w w:val="0"/>
          <w:lang w:val="es-AR"/>
        </w:rPr>
        <w:t xml:space="preserve">ceros tuvo una disminución de </w:t>
      </w:r>
      <w:r w:rsidR="00F55245">
        <w:rPr>
          <w:rFonts w:ascii="Arial" w:hAnsi="Arial" w:cs="Arial"/>
          <w:w w:val="0"/>
          <w:lang w:val="es-AR"/>
        </w:rPr>
        <w:t>70,4</w:t>
      </w:r>
      <w:r w:rsidR="00E6060F" w:rsidRPr="00904FA9">
        <w:rPr>
          <w:rFonts w:ascii="Arial" w:hAnsi="Arial" w:cs="Arial"/>
          <w:w w:val="0"/>
          <w:lang w:val="es-AR"/>
        </w:rPr>
        <w:t xml:space="preserve">%, mientras que el volumen de gas natural transferido del segmento </w:t>
      </w:r>
      <w:proofErr w:type="spellStart"/>
      <w:r w:rsidR="00E6060F" w:rsidRPr="00904FA9">
        <w:rPr>
          <w:rFonts w:ascii="Arial" w:hAnsi="Arial" w:cs="Arial"/>
          <w:w w:val="0"/>
          <w:lang w:val="es-AR"/>
        </w:rPr>
        <w:t>U</w:t>
      </w:r>
      <w:r w:rsidR="00904FA9">
        <w:rPr>
          <w:rFonts w:ascii="Arial" w:hAnsi="Arial" w:cs="Arial"/>
          <w:w w:val="0"/>
          <w:lang w:val="es-AR"/>
        </w:rPr>
        <w:t>pstream</w:t>
      </w:r>
      <w:proofErr w:type="spellEnd"/>
      <w:r w:rsidR="00904FA9">
        <w:rPr>
          <w:rFonts w:ascii="Arial" w:hAnsi="Arial" w:cs="Arial"/>
          <w:w w:val="0"/>
          <w:lang w:val="es-AR"/>
        </w:rPr>
        <w:t xml:space="preserve"> también cayó un 10,0</w:t>
      </w:r>
      <w:r w:rsidR="00E6060F" w:rsidRPr="00904FA9">
        <w:rPr>
          <w:rFonts w:ascii="Arial" w:hAnsi="Arial" w:cs="Arial"/>
          <w:w w:val="0"/>
          <w:lang w:val="es-AR"/>
        </w:rPr>
        <w:t>%;</w:t>
      </w:r>
    </w:p>
    <w:p w14:paraId="0FA03FFD" w14:textId="0D10EE06" w:rsidR="000C10D9" w:rsidRPr="00891934" w:rsidRDefault="00CF2DA4" w:rsidP="00891934">
      <w:pPr>
        <w:pStyle w:val="BodyText"/>
        <w:keepLines/>
        <w:numPr>
          <w:ilvl w:val="0"/>
          <w:numId w:val="5"/>
        </w:numPr>
        <w:spacing w:before="120" w:line="288" w:lineRule="auto"/>
        <w:ind w:left="1004"/>
        <w:jc w:val="both"/>
        <w:rPr>
          <w:rFonts w:ascii="Arial" w:hAnsi="Arial" w:cs="Arial"/>
          <w:lang w:val="es-AR"/>
        </w:rPr>
      </w:pPr>
      <w:r w:rsidRPr="00891934">
        <w:rPr>
          <w:rFonts w:ascii="Arial" w:hAnsi="Arial" w:cs="Arial"/>
          <w:lang w:val="es-AR"/>
        </w:rPr>
        <w:lastRenderedPageBreak/>
        <w:t>L</w:t>
      </w:r>
      <w:r w:rsidR="00E6060F" w:rsidRPr="00891934">
        <w:rPr>
          <w:rFonts w:ascii="Arial" w:hAnsi="Arial" w:cs="Arial"/>
          <w:lang w:val="es-AR"/>
        </w:rPr>
        <w:t xml:space="preserve">as compras de gas natural a otros productores para su reventa en el segmento de distribución a clientes minoristas (residenciales y pequeños comercios e industrias) </w:t>
      </w:r>
      <w:r w:rsidR="00904FA9" w:rsidRPr="00891934">
        <w:rPr>
          <w:rFonts w:ascii="Arial" w:hAnsi="Arial" w:cs="Arial"/>
          <w:lang w:val="es-AR"/>
        </w:rPr>
        <w:t xml:space="preserve">ascendieron a </w:t>
      </w:r>
      <w:proofErr w:type="spellStart"/>
      <w:r w:rsidR="00904FA9" w:rsidRPr="00891934">
        <w:rPr>
          <w:rFonts w:ascii="Arial" w:hAnsi="Arial" w:cs="Arial"/>
          <w:lang w:val="es-AR"/>
        </w:rPr>
        <w:t>Ps</w:t>
      </w:r>
      <w:proofErr w:type="spellEnd"/>
      <w:r w:rsidR="00904FA9" w:rsidRPr="00891934">
        <w:rPr>
          <w:rFonts w:ascii="Arial" w:hAnsi="Arial" w:cs="Arial"/>
          <w:lang w:val="es-AR"/>
        </w:rPr>
        <w:t xml:space="preserve"> 5</w:t>
      </w:r>
      <w:r w:rsidR="000C10D9" w:rsidRPr="00891934">
        <w:rPr>
          <w:rFonts w:ascii="Arial" w:hAnsi="Arial" w:cs="Arial"/>
          <w:lang w:val="es-AR"/>
        </w:rPr>
        <w:t>,2</w:t>
      </w:r>
      <w:r w:rsidRPr="00891934">
        <w:rPr>
          <w:rFonts w:ascii="Arial" w:hAnsi="Arial" w:cs="Arial"/>
          <w:lang w:val="es-AR"/>
        </w:rPr>
        <w:t xml:space="preserve"> MM siendo superiores </w:t>
      </w:r>
      <w:r w:rsidR="00E6060F" w:rsidRPr="00891934">
        <w:rPr>
          <w:rFonts w:ascii="Arial" w:hAnsi="Arial" w:cs="Arial"/>
          <w:lang w:val="es-AR"/>
        </w:rPr>
        <w:t xml:space="preserve">por </w:t>
      </w:r>
      <w:proofErr w:type="spellStart"/>
      <w:r w:rsidR="000C10D9" w:rsidRPr="00891934">
        <w:rPr>
          <w:rFonts w:ascii="Arial" w:hAnsi="Arial" w:cs="Arial"/>
          <w:lang w:val="es-AR"/>
        </w:rPr>
        <w:t>Ps</w:t>
      </w:r>
      <w:proofErr w:type="spellEnd"/>
      <w:r w:rsidR="000C10D9" w:rsidRPr="00891934">
        <w:rPr>
          <w:rFonts w:ascii="Arial" w:hAnsi="Arial" w:cs="Arial"/>
          <w:lang w:val="es-AR"/>
        </w:rPr>
        <w:t xml:space="preserve"> 1,</w:t>
      </w:r>
      <w:r w:rsidR="002C480E">
        <w:rPr>
          <w:rFonts w:ascii="Arial" w:hAnsi="Arial" w:cs="Arial"/>
          <w:lang w:val="es-AR"/>
        </w:rPr>
        <w:t>7</w:t>
      </w:r>
      <w:r w:rsidR="00E6060F" w:rsidRPr="00891934">
        <w:rPr>
          <w:rFonts w:ascii="Arial" w:hAnsi="Arial" w:cs="Arial"/>
          <w:lang w:val="es-AR"/>
        </w:rPr>
        <w:t xml:space="preserve"> MM</w:t>
      </w:r>
      <w:r w:rsidR="00904FA9" w:rsidRPr="00891934">
        <w:rPr>
          <w:rFonts w:ascii="Arial" w:hAnsi="Arial" w:cs="Arial"/>
          <w:lang w:val="es-AR"/>
        </w:rPr>
        <w:t xml:space="preserve">, o </w:t>
      </w:r>
      <w:r w:rsidR="000C10D9" w:rsidRPr="00891934">
        <w:rPr>
          <w:rFonts w:ascii="Arial" w:hAnsi="Arial" w:cs="Arial"/>
          <w:lang w:val="es-AR"/>
        </w:rPr>
        <w:t>50,9</w:t>
      </w:r>
      <w:r w:rsidR="00E6060F" w:rsidRPr="00891934">
        <w:rPr>
          <w:rFonts w:ascii="Arial" w:hAnsi="Arial" w:cs="Arial"/>
          <w:lang w:val="es-AR"/>
        </w:rPr>
        <w:t>%</w:t>
      </w:r>
      <w:r w:rsidR="000C10D9" w:rsidRPr="00891934">
        <w:rPr>
          <w:rFonts w:ascii="Arial" w:hAnsi="Arial" w:cs="Arial"/>
          <w:lang w:val="es-AR"/>
        </w:rPr>
        <w:t xml:space="preserve"> a los </w:t>
      </w:r>
      <w:proofErr w:type="spellStart"/>
      <w:r w:rsidR="000C10D9" w:rsidRPr="00891934">
        <w:rPr>
          <w:rFonts w:ascii="Arial" w:hAnsi="Arial" w:cs="Arial"/>
          <w:lang w:val="es-AR"/>
        </w:rPr>
        <w:t>Ps</w:t>
      </w:r>
      <w:proofErr w:type="spellEnd"/>
      <w:r w:rsidR="000C10D9" w:rsidRPr="00891934">
        <w:rPr>
          <w:rFonts w:ascii="Arial" w:hAnsi="Arial" w:cs="Arial"/>
          <w:lang w:val="es-AR"/>
        </w:rPr>
        <w:t xml:space="preserve"> 3,5 </w:t>
      </w:r>
      <w:r w:rsidRPr="00891934">
        <w:rPr>
          <w:rFonts w:ascii="Arial" w:hAnsi="Arial" w:cs="Arial"/>
          <w:lang w:val="es-AR"/>
        </w:rPr>
        <w:t xml:space="preserve">MM del </w:t>
      </w:r>
      <w:r w:rsidR="00BC18E4" w:rsidRPr="00891934">
        <w:rPr>
          <w:rFonts w:ascii="Arial" w:hAnsi="Arial" w:cs="Arial"/>
          <w:lang w:val="es-AR"/>
        </w:rPr>
        <w:t>segundo</w:t>
      </w:r>
      <w:r w:rsidRPr="00891934">
        <w:rPr>
          <w:rFonts w:ascii="Arial" w:hAnsi="Arial" w:cs="Arial"/>
          <w:lang w:val="es-AR"/>
        </w:rPr>
        <w:t xml:space="preserve"> trimestre de 2018</w:t>
      </w:r>
      <w:r w:rsidR="00E6060F" w:rsidRPr="00891934">
        <w:rPr>
          <w:rFonts w:ascii="Arial" w:hAnsi="Arial" w:cs="Arial"/>
          <w:lang w:val="es-AR"/>
        </w:rPr>
        <w:t xml:space="preserve">, principalmente debido a la registración </w:t>
      </w:r>
      <w:r w:rsidR="00972E54" w:rsidRPr="00891934">
        <w:rPr>
          <w:rFonts w:ascii="Arial" w:hAnsi="Arial" w:cs="Arial"/>
          <w:lang w:val="es-AR"/>
        </w:rPr>
        <w:t xml:space="preserve">de un ajuste por inflación de </w:t>
      </w:r>
      <w:proofErr w:type="spellStart"/>
      <w:r w:rsidR="00972E54" w:rsidRPr="00891934">
        <w:rPr>
          <w:rFonts w:ascii="Arial" w:hAnsi="Arial" w:cs="Arial"/>
          <w:lang w:val="es-AR"/>
        </w:rPr>
        <w:t>Ps</w:t>
      </w:r>
      <w:proofErr w:type="spellEnd"/>
      <w:r w:rsidR="00904FA9" w:rsidRPr="00891934">
        <w:rPr>
          <w:rFonts w:ascii="Arial" w:hAnsi="Arial" w:cs="Arial"/>
          <w:lang w:val="es-AR"/>
        </w:rPr>
        <w:t xml:space="preserve"> 0,5 MM</w:t>
      </w:r>
      <w:r w:rsidR="00972E54" w:rsidRPr="00891934">
        <w:rPr>
          <w:rFonts w:ascii="Arial" w:hAnsi="Arial" w:cs="Arial"/>
          <w:lang w:val="es-AR"/>
        </w:rPr>
        <w:t xml:space="preserve"> </w:t>
      </w:r>
      <w:r w:rsidR="00E6060F" w:rsidRPr="00891934">
        <w:rPr>
          <w:rFonts w:ascii="Arial" w:hAnsi="Arial" w:cs="Arial"/>
          <w:lang w:val="es-AR"/>
        </w:rPr>
        <w:t xml:space="preserve">en </w:t>
      </w:r>
      <w:r w:rsidR="00972E54" w:rsidRPr="00891934">
        <w:rPr>
          <w:rFonts w:ascii="Arial" w:hAnsi="Arial" w:cs="Arial"/>
          <w:lang w:val="es-AR"/>
        </w:rPr>
        <w:t xml:space="preserve">las </w:t>
      </w:r>
      <w:r w:rsidR="00E6060F" w:rsidRPr="00891934">
        <w:rPr>
          <w:rFonts w:ascii="Arial" w:hAnsi="Arial" w:cs="Arial"/>
          <w:lang w:val="es-AR"/>
        </w:rPr>
        <w:t>compras</w:t>
      </w:r>
      <w:r w:rsidR="00972E54" w:rsidRPr="00891934">
        <w:rPr>
          <w:rFonts w:ascii="Arial" w:hAnsi="Arial" w:cs="Arial"/>
          <w:lang w:val="es-AR"/>
        </w:rPr>
        <w:t xml:space="preserve"> de nuestra compañía controlada Metrogas S.A </w:t>
      </w:r>
      <w:r w:rsidR="00E6060F" w:rsidRPr="00891934">
        <w:rPr>
          <w:rFonts w:ascii="Arial" w:hAnsi="Arial" w:cs="Arial"/>
          <w:lang w:val="es-AR"/>
        </w:rPr>
        <w:t xml:space="preserve">de, </w:t>
      </w:r>
      <w:r w:rsidR="001F7A1E" w:rsidRPr="00891934">
        <w:rPr>
          <w:rFonts w:ascii="Arial" w:hAnsi="Arial" w:cs="Arial"/>
          <w:lang w:val="es-AR"/>
        </w:rPr>
        <w:t xml:space="preserve">a </w:t>
      </w:r>
      <w:r w:rsidR="00E6060F" w:rsidRPr="00891934">
        <w:rPr>
          <w:rFonts w:ascii="Arial" w:hAnsi="Arial" w:cs="Arial"/>
          <w:lang w:val="es-AR"/>
        </w:rPr>
        <w:t>un incremento en el precio d</w:t>
      </w:r>
      <w:r w:rsidR="000F174D" w:rsidRPr="00891934">
        <w:rPr>
          <w:rFonts w:ascii="Arial" w:hAnsi="Arial" w:cs="Arial"/>
          <w:lang w:val="es-AR"/>
        </w:rPr>
        <w:t xml:space="preserve">e compra de aproximadamente </w:t>
      </w:r>
      <w:r w:rsidR="000C10D9" w:rsidRPr="00891934">
        <w:rPr>
          <w:rFonts w:ascii="Arial" w:hAnsi="Arial" w:cs="Arial"/>
          <w:lang w:val="es-AR"/>
        </w:rPr>
        <w:t>58,9</w:t>
      </w:r>
      <w:r w:rsidR="000F174D" w:rsidRPr="00891934">
        <w:rPr>
          <w:rFonts w:ascii="Arial" w:hAnsi="Arial" w:cs="Arial"/>
          <w:lang w:val="es-AR"/>
        </w:rPr>
        <w:t>%, y a una disminución</w:t>
      </w:r>
      <w:r w:rsidR="00E6060F" w:rsidRPr="00891934">
        <w:rPr>
          <w:rFonts w:ascii="Arial" w:hAnsi="Arial" w:cs="Arial"/>
          <w:lang w:val="es-AR"/>
        </w:rPr>
        <w:t xml:space="preserve"> de</w:t>
      </w:r>
      <w:r w:rsidR="000F174D" w:rsidRPr="00891934">
        <w:rPr>
          <w:rFonts w:ascii="Arial" w:hAnsi="Arial" w:cs="Arial"/>
          <w:lang w:val="es-AR"/>
        </w:rPr>
        <w:t xml:space="preserve"> l</w:t>
      </w:r>
      <w:r w:rsidR="000C10D9" w:rsidRPr="00891934">
        <w:rPr>
          <w:rFonts w:ascii="Arial" w:hAnsi="Arial" w:cs="Arial"/>
          <w:lang w:val="es-AR"/>
        </w:rPr>
        <w:t>os volúmenes adquiridos del 5,1</w:t>
      </w:r>
      <w:r w:rsidR="00E6060F" w:rsidRPr="00891934">
        <w:rPr>
          <w:rFonts w:ascii="Arial" w:hAnsi="Arial" w:cs="Arial"/>
          <w:lang w:val="es-AR"/>
        </w:rPr>
        <w:t>%</w:t>
      </w:r>
      <w:r w:rsidR="00163309" w:rsidRPr="00891934">
        <w:rPr>
          <w:rFonts w:ascii="Arial" w:hAnsi="Arial" w:cs="Arial"/>
          <w:lang w:val="es-AR"/>
        </w:rPr>
        <w:t>;</w:t>
      </w:r>
    </w:p>
    <w:p w14:paraId="3E824CE7" w14:textId="27CD1FE6" w:rsidR="004D0850" w:rsidRPr="00321998" w:rsidRDefault="00163309" w:rsidP="004D0850">
      <w:pPr>
        <w:pStyle w:val="BodyText"/>
        <w:keepLines/>
        <w:numPr>
          <w:ilvl w:val="0"/>
          <w:numId w:val="5"/>
        </w:numPr>
        <w:spacing w:before="120" w:line="288" w:lineRule="auto"/>
        <w:ind w:left="1004"/>
        <w:jc w:val="both"/>
        <w:rPr>
          <w:rFonts w:ascii="Arial" w:hAnsi="Arial" w:cs="Arial"/>
          <w:lang w:val="es-AR"/>
        </w:rPr>
      </w:pPr>
      <w:r w:rsidRPr="00931E3C">
        <w:rPr>
          <w:rFonts w:ascii="Arial" w:hAnsi="Arial" w:cs="Arial"/>
          <w:lang w:val="es-AR"/>
        </w:rPr>
        <w:t xml:space="preserve">Las depreciaciones de propiedades, planta y equipos correspondientes al proceso productivo </w:t>
      </w:r>
      <w:r w:rsidR="00554192">
        <w:rPr>
          <w:rFonts w:ascii="Arial" w:hAnsi="Arial" w:cs="Arial"/>
          <w:lang w:val="es-AR"/>
        </w:rPr>
        <w:t xml:space="preserve">ascendieron </w:t>
      </w:r>
      <w:proofErr w:type="spellStart"/>
      <w:r w:rsidR="00554192">
        <w:rPr>
          <w:rFonts w:ascii="Arial" w:hAnsi="Arial" w:cs="Arial"/>
          <w:lang w:val="es-AR"/>
        </w:rPr>
        <w:t>Ps</w:t>
      </w:r>
      <w:proofErr w:type="spellEnd"/>
      <w:r w:rsidR="00554192">
        <w:rPr>
          <w:rFonts w:ascii="Arial" w:hAnsi="Arial" w:cs="Arial"/>
          <w:lang w:val="es-AR"/>
        </w:rPr>
        <w:t xml:space="preserve"> 0,3</w:t>
      </w:r>
      <w:r w:rsidRPr="00931E3C">
        <w:rPr>
          <w:rFonts w:ascii="Arial" w:hAnsi="Arial" w:cs="Arial"/>
          <w:lang w:val="es-AR"/>
        </w:rPr>
        <w:t xml:space="preserve"> MM, m</w:t>
      </w:r>
      <w:r w:rsidR="00554192">
        <w:rPr>
          <w:rFonts w:ascii="Arial" w:hAnsi="Arial" w:cs="Arial"/>
          <w:lang w:val="es-AR"/>
        </w:rPr>
        <w:t xml:space="preserve">ostrando un incremento de </w:t>
      </w:r>
      <w:proofErr w:type="spellStart"/>
      <w:r w:rsidR="00554192">
        <w:rPr>
          <w:rFonts w:ascii="Arial" w:hAnsi="Arial" w:cs="Arial"/>
          <w:lang w:val="es-AR"/>
        </w:rPr>
        <w:t>Ps</w:t>
      </w:r>
      <w:proofErr w:type="spellEnd"/>
      <w:r w:rsidR="00554192">
        <w:rPr>
          <w:rFonts w:ascii="Arial" w:hAnsi="Arial" w:cs="Arial"/>
          <w:lang w:val="es-AR"/>
        </w:rPr>
        <w:t xml:space="preserve"> 0,2 MM o 336,1</w:t>
      </w:r>
      <w:r w:rsidRPr="00931E3C">
        <w:rPr>
          <w:rFonts w:ascii="Arial" w:hAnsi="Arial" w:cs="Arial"/>
          <w:lang w:val="es-AR"/>
        </w:rPr>
        <w:t>%,</w:t>
      </w:r>
      <w:r w:rsidR="004D0850" w:rsidRPr="004D0850">
        <w:rPr>
          <w:rFonts w:ascii="Arial" w:hAnsi="Arial" w:cs="Arial"/>
          <w:lang w:val="es-AR"/>
        </w:rPr>
        <w:t xml:space="preserve"> </w:t>
      </w:r>
      <w:r w:rsidR="004D0850" w:rsidRPr="00321998">
        <w:rPr>
          <w:rFonts w:ascii="Arial" w:hAnsi="Arial" w:cs="Arial"/>
          <w:lang w:val="es-AR"/>
        </w:rPr>
        <w:t>fundamentalmente motivado por la mayor amortización de bienes de usos de uso de la compañía controlada Metrogas en comparación con el mismo período del año anterior por la registración del ajuste por inflación.</w:t>
      </w:r>
    </w:p>
    <w:p w14:paraId="1D67E283" w14:textId="7B7F7450" w:rsidR="00931E3C" w:rsidRPr="00931E3C" w:rsidRDefault="00931E3C" w:rsidP="004D0850">
      <w:pPr>
        <w:pStyle w:val="BodyText"/>
        <w:keepLines/>
        <w:spacing w:before="120" w:line="288" w:lineRule="auto"/>
        <w:ind w:left="1004"/>
        <w:jc w:val="both"/>
        <w:rPr>
          <w:rFonts w:ascii="Arial" w:hAnsi="Arial" w:cs="Arial"/>
          <w:highlight w:val="yellow"/>
          <w:lang w:val="es-AR"/>
        </w:rPr>
      </w:pPr>
    </w:p>
    <w:p w14:paraId="47654583" w14:textId="77777777" w:rsidR="00FC60FA" w:rsidRDefault="00FC60FA" w:rsidP="0058416B">
      <w:pPr>
        <w:pStyle w:val="Heading2"/>
        <w:rPr>
          <w:rFonts w:cs="Arial"/>
          <w:color w:val="000000"/>
          <w:spacing w:val="-3"/>
          <w:sz w:val="24"/>
          <w:lang w:val="es-AR"/>
        </w:rPr>
      </w:pPr>
    </w:p>
    <w:p w14:paraId="35414D00" w14:textId="77777777" w:rsidR="00FC60FA" w:rsidRDefault="00FC60FA" w:rsidP="0058416B">
      <w:pPr>
        <w:pStyle w:val="Heading2"/>
        <w:rPr>
          <w:rFonts w:cs="Arial"/>
          <w:color w:val="000000"/>
          <w:spacing w:val="-3"/>
          <w:sz w:val="24"/>
          <w:lang w:val="es-AR"/>
        </w:rPr>
      </w:pPr>
    </w:p>
    <w:p w14:paraId="4EFEF8E2" w14:textId="77777777" w:rsidR="00FC60FA" w:rsidRDefault="00FC60FA" w:rsidP="0058416B">
      <w:pPr>
        <w:pStyle w:val="Heading2"/>
        <w:rPr>
          <w:rFonts w:cs="Arial"/>
          <w:color w:val="000000"/>
          <w:spacing w:val="-3"/>
          <w:sz w:val="24"/>
          <w:lang w:val="es-AR"/>
        </w:rPr>
      </w:pPr>
    </w:p>
    <w:p w14:paraId="0DB9B71A" w14:textId="7EEB2400" w:rsidR="00FC60FA" w:rsidRDefault="00FC60FA" w:rsidP="0058416B">
      <w:pPr>
        <w:pStyle w:val="Heading2"/>
        <w:rPr>
          <w:rFonts w:cs="Arial"/>
          <w:color w:val="000000"/>
          <w:spacing w:val="-3"/>
          <w:sz w:val="24"/>
          <w:lang w:val="es-AR"/>
        </w:rPr>
      </w:pPr>
    </w:p>
    <w:p w14:paraId="1DD1018C" w14:textId="0B3F7764" w:rsidR="00FC60FA" w:rsidRDefault="00FC60FA" w:rsidP="00FC60FA">
      <w:pPr>
        <w:rPr>
          <w:lang w:val="es-AR"/>
        </w:rPr>
      </w:pPr>
    </w:p>
    <w:p w14:paraId="1CD3EB7B" w14:textId="1A3CE903" w:rsidR="00FC60FA" w:rsidRDefault="00FC60FA" w:rsidP="00FC60FA">
      <w:pPr>
        <w:rPr>
          <w:lang w:val="es-AR"/>
        </w:rPr>
      </w:pPr>
    </w:p>
    <w:p w14:paraId="2DC3CBB8" w14:textId="2E5322EF" w:rsidR="00FC60FA" w:rsidRDefault="00FC60FA" w:rsidP="00FC60FA">
      <w:pPr>
        <w:rPr>
          <w:lang w:val="es-AR"/>
        </w:rPr>
      </w:pPr>
    </w:p>
    <w:p w14:paraId="4670075C" w14:textId="19CC7C51" w:rsidR="00FC60FA" w:rsidRDefault="00FC60FA" w:rsidP="00FC60FA">
      <w:pPr>
        <w:rPr>
          <w:lang w:val="es-AR"/>
        </w:rPr>
      </w:pPr>
    </w:p>
    <w:p w14:paraId="54C9E440" w14:textId="3A44FD91" w:rsidR="00FC60FA" w:rsidRDefault="00FC60FA" w:rsidP="00FC60FA">
      <w:pPr>
        <w:rPr>
          <w:lang w:val="es-AR"/>
        </w:rPr>
      </w:pPr>
    </w:p>
    <w:p w14:paraId="03C088C2" w14:textId="52AC22BD" w:rsidR="00FC60FA" w:rsidRDefault="00FC60FA" w:rsidP="00FC60FA">
      <w:pPr>
        <w:rPr>
          <w:lang w:val="es-AR"/>
        </w:rPr>
      </w:pPr>
    </w:p>
    <w:p w14:paraId="30BD8E25" w14:textId="2ACDF812" w:rsidR="00FC60FA" w:rsidRDefault="00FC60FA" w:rsidP="00FC60FA">
      <w:pPr>
        <w:rPr>
          <w:lang w:val="es-AR"/>
        </w:rPr>
      </w:pPr>
    </w:p>
    <w:p w14:paraId="3AB28429" w14:textId="057FA9DF" w:rsidR="00FC60FA" w:rsidRDefault="00FC60FA" w:rsidP="00FC60FA">
      <w:pPr>
        <w:rPr>
          <w:lang w:val="es-AR"/>
        </w:rPr>
      </w:pPr>
    </w:p>
    <w:p w14:paraId="0DA48A02" w14:textId="160D1A3E" w:rsidR="00FC60FA" w:rsidRDefault="00FC60FA" w:rsidP="00FC60FA">
      <w:pPr>
        <w:rPr>
          <w:lang w:val="es-AR"/>
        </w:rPr>
      </w:pPr>
    </w:p>
    <w:p w14:paraId="0FB47626" w14:textId="7739851E" w:rsidR="00B20823" w:rsidRDefault="00B20823" w:rsidP="00FC60FA">
      <w:pPr>
        <w:rPr>
          <w:lang w:val="es-AR"/>
        </w:rPr>
      </w:pPr>
    </w:p>
    <w:p w14:paraId="74B4D186" w14:textId="1B5AC647" w:rsidR="00B20823" w:rsidRDefault="00B20823" w:rsidP="00FC60FA">
      <w:pPr>
        <w:rPr>
          <w:lang w:val="es-AR"/>
        </w:rPr>
      </w:pPr>
    </w:p>
    <w:p w14:paraId="04754D97" w14:textId="4CFE04F2" w:rsidR="00B20823" w:rsidRDefault="00B20823" w:rsidP="00FC60FA">
      <w:pPr>
        <w:rPr>
          <w:lang w:val="es-AR"/>
        </w:rPr>
      </w:pPr>
    </w:p>
    <w:p w14:paraId="48108A2F" w14:textId="77777777" w:rsidR="00B20823" w:rsidRDefault="00B20823" w:rsidP="00FC60FA">
      <w:pPr>
        <w:rPr>
          <w:lang w:val="es-AR"/>
        </w:rPr>
      </w:pPr>
    </w:p>
    <w:p w14:paraId="39BBA028" w14:textId="2E232F61" w:rsidR="00FC60FA" w:rsidRDefault="00FC60FA" w:rsidP="00FC60FA">
      <w:pPr>
        <w:rPr>
          <w:lang w:val="es-AR"/>
        </w:rPr>
      </w:pPr>
    </w:p>
    <w:p w14:paraId="510965BB" w14:textId="77777777" w:rsidR="00FC60FA" w:rsidRPr="00FC60FA" w:rsidRDefault="00FC60FA" w:rsidP="00FC60FA">
      <w:pPr>
        <w:rPr>
          <w:lang w:val="es-AR"/>
        </w:rPr>
      </w:pPr>
    </w:p>
    <w:p w14:paraId="12507CBE" w14:textId="20DE95D3" w:rsidR="00F52ADB" w:rsidRPr="0058416B" w:rsidRDefault="001D5E22" w:rsidP="0058416B">
      <w:pPr>
        <w:pStyle w:val="Heading2"/>
        <w:rPr>
          <w:rFonts w:cs="Arial"/>
          <w:color w:val="000000"/>
          <w:spacing w:val="-3"/>
          <w:sz w:val="24"/>
          <w:lang w:val="es-AR"/>
        </w:rPr>
      </w:pPr>
      <w:r w:rsidRPr="0058416B">
        <w:rPr>
          <w:rFonts w:cs="Arial"/>
          <w:color w:val="000000"/>
          <w:spacing w:val="-3"/>
          <w:sz w:val="24"/>
          <w:lang w:val="es-AR"/>
        </w:rPr>
        <w:lastRenderedPageBreak/>
        <w:t>3</w:t>
      </w:r>
      <w:r w:rsidR="00F52ADB" w:rsidRPr="0058416B">
        <w:rPr>
          <w:rFonts w:cs="Arial"/>
          <w:color w:val="000000"/>
          <w:spacing w:val="-3"/>
          <w:sz w:val="24"/>
          <w:lang w:val="es-AR"/>
        </w:rPr>
        <w:t>.</w:t>
      </w:r>
      <w:r w:rsidR="002A570B" w:rsidRPr="0058416B">
        <w:rPr>
          <w:rFonts w:cs="Arial"/>
          <w:color w:val="000000"/>
          <w:spacing w:val="-3"/>
          <w:sz w:val="24"/>
          <w:lang w:val="es-AR"/>
        </w:rPr>
        <w:t>4</w:t>
      </w:r>
      <w:r w:rsidR="00F52ADB" w:rsidRPr="0058416B">
        <w:rPr>
          <w:rFonts w:cs="Arial"/>
          <w:color w:val="000000"/>
          <w:spacing w:val="-3"/>
          <w:sz w:val="24"/>
          <w:lang w:val="es-AR"/>
        </w:rPr>
        <w:t xml:space="preserve"> CORPORACI</w:t>
      </w:r>
      <w:r w:rsidR="006842C1" w:rsidRPr="0058416B">
        <w:rPr>
          <w:rFonts w:cs="Arial"/>
          <w:color w:val="000000"/>
          <w:spacing w:val="-3"/>
          <w:sz w:val="24"/>
          <w:lang w:val="es-AR"/>
        </w:rPr>
        <w:t>Ó</w:t>
      </w:r>
      <w:r w:rsidR="00F52ADB" w:rsidRPr="0058416B">
        <w:rPr>
          <w:rFonts w:cs="Arial"/>
          <w:color w:val="000000"/>
          <w:spacing w:val="-3"/>
          <w:sz w:val="24"/>
          <w:lang w:val="es-AR"/>
        </w:rPr>
        <w:t>N</w:t>
      </w:r>
      <w:r w:rsidR="006842C1" w:rsidRPr="0058416B">
        <w:rPr>
          <w:rFonts w:cs="Arial"/>
          <w:color w:val="000000"/>
          <w:spacing w:val="-3"/>
          <w:sz w:val="24"/>
          <w:lang w:val="es-AR"/>
        </w:rPr>
        <w:t xml:space="preserve"> Y OTROS</w:t>
      </w:r>
    </w:p>
    <w:p w14:paraId="34CE3115" w14:textId="77777777" w:rsidR="00F52ADB" w:rsidRPr="001866A1" w:rsidRDefault="00F52ADB" w:rsidP="00F52ADB">
      <w:pPr>
        <w:spacing w:after="0"/>
        <w:jc w:val="both"/>
        <w:rPr>
          <w:rFonts w:ascii="Arial" w:hAnsi="Arial" w:cs="Arial"/>
          <w:spacing w:val="-3"/>
          <w:lang w:val="es-AR"/>
        </w:rPr>
      </w:pPr>
    </w:p>
    <w:p w14:paraId="653DC4F9" w14:textId="77777777" w:rsidR="00A63BFD" w:rsidRPr="00A63BFD" w:rsidRDefault="00155631" w:rsidP="00A63BFD">
      <w:pPr>
        <w:spacing w:after="120" w:line="288" w:lineRule="auto"/>
        <w:jc w:val="both"/>
        <w:rPr>
          <w:rFonts w:ascii="Arial" w:hAnsi="Arial" w:cs="Arial"/>
          <w:w w:val="0"/>
          <w:lang w:val="es-AR"/>
        </w:rPr>
      </w:pPr>
      <w:r w:rsidRPr="00A63BFD">
        <w:rPr>
          <w:rFonts w:ascii="Arial" w:hAnsi="Arial" w:cs="Arial"/>
          <w:w w:val="0"/>
          <w:lang w:val="es-AR"/>
        </w:rPr>
        <w:t xml:space="preserve">Este segmento de negocio incluye fundamentalmente los gastos de funcionamiento de la corporación y las demás actividades no imputadas a los negocios previamente mencionados. </w:t>
      </w:r>
    </w:p>
    <w:p w14:paraId="250C115F" w14:textId="3DE2309B" w:rsidR="00E54AEF" w:rsidRPr="002D1A01" w:rsidRDefault="00EC4F74" w:rsidP="00E54AEF">
      <w:pPr>
        <w:spacing w:after="120" w:line="288" w:lineRule="auto"/>
        <w:jc w:val="both"/>
        <w:rPr>
          <w:rFonts w:ascii="Arial" w:hAnsi="Arial" w:cs="Arial"/>
          <w:w w:val="0"/>
          <w:lang w:val="es-AR"/>
        </w:rPr>
      </w:pPr>
      <w:bookmarkStart w:id="89" w:name="_Hlk2179353"/>
      <w:r w:rsidRPr="00947F49">
        <w:rPr>
          <w:rFonts w:ascii="Arial" w:hAnsi="Arial" w:cs="Arial"/>
          <w:w w:val="0"/>
          <w:lang w:val="es-AR"/>
        </w:rPr>
        <w:t>E</w:t>
      </w:r>
      <w:r w:rsidR="00495F54" w:rsidRPr="00947F49">
        <w:rPr>
          <w:rFonts w:ascii="Arial" w:hAnsi="Arial" w:cs="Arial"/>
          <w:w w:val="0"/>
          <w:lang w:val="es-AR"/>
        </w:rPr>
        <w:t>l</w:t>
      </w:r>
      <w:r w:rsidRPr="00947F49">
        <w:rPr>
          <w:rFonts w:ascii="Arial" w:hAnsi="Arial" w:cs="Arial"/>
          <w:w w:val="0"/>
          <w:lang w:val="es-AR"/>
        </w:rPr>
        <w:t xml:space="preserve"> resultado operativo </w:t>
      </w:r>
      <w:r w:rsidR="00E61495" w:rsidRPr="00947F49">
        <w:rPr>
          <w:rFonts w:ascii="Arial" w:hAnsi="Arial" w:cs="Arial"/>
          <w:w w:val="0"/>
          <w:lang w:val="es-AR"/>
        </w:rPr>
        <w:t xml:space="preserve">de la corporación en el </w:t>
      </w:r>
      <w:r w:rsidR="00BC18E4">
        <w:rPr>
          <w:rFonts w:ascii="Arial" w:hAnsi="Arial" w:cs="Arial"/>
          <w:w w:val="0"/>
          <w:lang w:val="es-AR"/>
        </w:rPr>
        <w:t xml:space="preserve">segundo </w:t>
      </w:r>
      <w:r w:rsidR="001B634F">
        <w:rPr>
          <w:rFonts w:ascii="Arial" w:hAnsi="Arial" w:cs="Arial"/>
          <w:w w:val="0"/>
          <w:lang w:val="es-AR"/>
        </w:rPr>
        <w:t xml:space="preserve">trimestre del año </w:t>
      </w:r>
      <w:r w:rsidR="00E61495" w:rsidRPr="00947F49">
        <w:rPr>
          <w:rFonts w:ascii="Arial" w:hAnsi="Arial" w:cs="Arial"/>
          <w:w w:val="0"/>
          <w:lang w:val="es-AR"/>
        </w:rPr>
        <w:t>201</w:t>
      </w:r>
      <w:r w:rsidR="001B634F">
        <w:rPr>
          <w:rFonts w:ascii="Arial" w:hAnsi="Arial" w:cs="Arial"/>
          <w:w w:val="0"/>
          <w:lang w:val="es-AR"/>
        </w:rPr>
        <w:t>9</w:t>
      </w:r>
      <w:r w:rsidRPr="00947F49">
        <w:rPr>
          <w:rFonts w:ascii="Arial" w:hAnsi="Arial" w:cs="Arial"/>
          <w:w w:val="0"/>
          <w:lang w:val="es-AR"/>
        </w:rPr>
        <w:t xml:space="preserve"> </w:t>
      </w:r>
      <w:r w:rsidR="00E31A44" w:rsidRPr="00947F49">
        <w:rPr>
          <w:rFonts w:ascii="Arial" w:hAnsi="Arial" w:cs="Arial"/>
          <w:w w:val="0"/>
          <w:lang w:val="es-AR"/>
        </w:rPr>
        <w:t>fue negativo en</w:t>
      </w:r>
      <w:r w:rsidRPr="00947F49">
        <w:rPr>
          <w:rFonts w:ascii="Arial" w:hAnsi="Arial" w:cs="Arial"/>
          <w:w w:val="0"/>
          <w:lang w:val="es-AR"/>
        </w:rPr>
        <w:t xml:space="preserve"> </w:t>
      </w:r>
      <w:proofErr w:type="spellStart"/>
      <w:r w:rsidR="009701C3" w:rsidRPr="00947F49">
        <w:rPr>
          <w:rFonts w:ascii="Arial" w:hAnsi="Arial" w:cs="Arial"/>
          <w:w w:val="0"/>
          <w:lang w:val="es-AR"/>
        </w:rPr>
        <w:t>Ps</w:t>
      </w:r>
      <w:proofErr w:type="spellEnd"/>
      <w:r w:rsidR="009701C3" w:rsidRPr="00947F49">
        <w:rPr>
          <w:rFonts w:ascii="Arial" w:hAnsi="Arial" w:cs="Arial"/>
          <w:w w:val="0"/>
          <w:lang w:val="es-AR"/>
        </w:rPr>
        <w:t xml:space="preserve"> </w:t>
      </w:r>
      <w:r w:rsidR="00616156">
        <w:rPr>
          <w:rFonts w:ascii="Arial" w:hAnsi="Arial" w:cs="Arial"/>
          <w:w w:val="0"/>
          <w:lang w:val="es-AR"/>
        </w:rPr>
        <w:t>2,7</w:t>
      </w:r>
      <w:r w:rsidRPr="00947F49">
        <w:rPr>
          <w:rFonts w:ascii="Arial" w:hAnsi="Arial" w:cs="Arial"/>
          <w:w w:val="0"/>
          <w:lang w:val="es-AR"/>
        </w:rPr>
        <w:t xml:space="preserve"> </w:t>
      </w:r>
      <w:r w:rsidR="00563DD2" w:rsidRPr="00947F49">
        <w:rPr>
          <w:rFonts w:ascii="Arial" w:hAnsi="Arial" w:cs="Arial"/>
          <w:w w:val="0"/>
          <w:lang w:val="es-AR"/>
        </w:rPr>
        <w:t>MM</w:t>
      </w:r>
      <w:r w:rsidRPr="00947F49">
        <w:rPr>
          <w:rFonts w:ascii="Arial" w:hAnsi="Arial" w:cs="Arial"/>
          <w:w w:val="0"/>
          <w:lang w:val="es-AR"/>
        </w:rPr>
        <w:t xml:space="preserve">, </w:t>
      </w:r>
      <w:r w:rsidR="00947F49" w:rsidRPr="00364CCF">
        <w:rPr>
          <w:rFonts w:ascii="Arial" w:hAnsi="Arial" w:cs="Arial"/>
          <w:w w:val="0"/>
          <w:lang w:val="es-AR"/>
        </w:rPr>
        <w:t>frente a la p</w:t>
      </w:r>
      <w:r w:rsidR="00947F49" w:rsidRPr="00364CCF">
        <w:rPr>
          <w:rFonts w:ascii="Arial" w:hAnsi="Arial" w:cs="Arial" w:hint="eastAsia"/>
          <w:w w:val="0"/>
          <w:lang w:val="es-AR"/>
        </w:rPr>
        <w:t>é</w:t>
      </w:r>
      <w:r w:rsidR="003A5676">
        <w:rPr>
          <w:rFonts w:ascii="Arial" w:hAnsi="Arial" w:cs="Arial"/>
          <w:w w:val="0"/>
          <w:lang w:val="es-AR"/>
        </w:rPr>
        <w:t xml:space="preserve">rdida operativa de </w:t>
      </w:r>
      <w:proofErr w:type="spellStart"/>
      <w:r w:rsidR="002740DF">
        <w:rPr>
          <w:rFonts w:ascii="Arial" w:hAnsi="Arial" w:cs="Arial"/>
          <w:w w:val="0"/>
          <w:lang w:val="es-AR"/>
        </w:rPr>
        <w:t>Ps</w:t>
      </w:r>
      <w:proofErr w:type="spellEnd"/>
      <w:r w:rsidR="002740DF">
        <w:rPr>
          <w:rFonts w:ascii="Arial" w:hAnsi="Arial" w:cs="Arial"/>
          <w:w w:val="0"/>
          <w:lang w:val="es-AR"/>
        </w:rPr>
        <w:t xml:space="preserve"> </w:t>
      </w:r>
      <w:r w:rsidR="00616156">
        <w:rPr>
          <w:rFonts w:ascii="Arial" w:hAnsi="Arial" w:cs="Arial"/>
          <w:w w:val="0"/>
          <w:lang w:val="es-AR"/>
        </w:rPr>
        <w:t>1,5</w:t>
      </w:r>
      <w:r w:rsidR="00165503">
        <w:rPr>
          <w:rFonts w:ascii="Arial" w:hAnsi="Arial" w:cs="Arial"/>
          <w:w w:val="0"/>
          <w:lang w:val="es-AR"/>
        </w:rPr>
        <w:t xml:space="preserve"> </w:t>
      </w:r>
      <w:r w:rsidR="00947F49" w:rsidRPr="00364CCF">
        <w:rPr>
          <w:rFonts w:ascii="Arial" w:hAnsi="Arial" w:cs="Arial"/>
          <w:w w:val="0"/>
          <w:lang w:val="es-AR"/>
        </w:rPr>
        <w:t>MM correspondientes al mismo per</w:t>
      </w:r>
      <w:r w:rsidR="00947F49" w:rsidRPr="00364CCF">
        <w:rPr>
          <w:rFonts w:ascii="Arial" w:hAnsi="Arial" w:cs="Arial" w:hint="eastAsia"/>
          <w:w w:val="0"/>
          <w:lang w:val="es-AR"/>
        </w:rPr>
        <w:t>í</w:t>
      </w:r>
      <w:r w:rsidR="001B634F">
        <w:rPr>
          <w:rFonts w:ascii="Arial" w:hAnsi="Arial" w:cs="Arial"/>
          <w:w w:val="0"/>
          <w:lang w:val="es-AR"/>
        </w:rPr>
        <w:t>odo de 2018</w:t>
      </w:r>
      <w:r w:rsidR="00617D3C" w:rsidRPr="002D1A01">
        <w:rPr>
          <w:rFonts w:ascii="Arial" w:hAnsi="Arial" w:cs="Arial"/>
          <w:w w:val="0"/>
          <w:lang w:val="es-AR"/>
        </w:rPr>
        <w:t>.</w:t>
      </w:r>
      <w:r w:rsidR="003A5676" w:rsidRPr="002D1A01">
        <w:rPr>
          <w:rFonts w:ascii="Arial" w:hAnsi="Arial" w:cs="Arial"/>
          <w:w w:val="0"/>
          <w:lang w:val="es-AR"/>
        </w:rPr>
        <w:t xml:space="preserve"> </w:t>
      </w:r>
      <w:r w:rsidR="00617D3C" w:rsidRPr="002D1A01">
        <w:rPr>
          <w:rFonts w:ascii="Arial" w:hAnsi="Arial" w:cs="Arial"/>
          <w:w w:val="0"/>
          <w:lang w:val="es-AR"/>
        </w:rPr>
        <w:t>Dicha</w:t>
      </w:r>
      <w:r w:rsidR="00E54AEF" w:rsidRPr="002D1A01">
        <w:rPr>
          <w:rFonts w:ascii="Arial" w:hAnsi="Arial" w:cs="Arial"/>
          <w:w w:val="0"/>
          <w:lang w:val="es-AR"/>
        </w:rPr>
        <w:t xml:space="preserve"> variaci</w:t>
      </w:r>
      <w:r w:rsidR="00E54AEF" w:rsidRPr="002D1A01">
        <w:rPr>
          <w:rFonts w:ascii="Arial" w:hAnsi="Arial" w:cs="Arial" w:hint="eastAsia"/>
          <w:w w:val="0"/>
          <w:lang w:val="es-AR"/>
        </w:rPr>
        <w:t>ó</w:t>
      </w:r>
      <w:r w:rsidR="00E54AEF" w:rsidRPr="002D1A01">
        <w:rPr>
          <w:rFonts w:ascii="Arial" w:hAnsi="Arial" w:cs="Arial"/>
          <w:w w:val="0"/>
          <w:lang w:val="es-AR"/>
        </w:rPr>
        <w:t>n est</w:t>
      </w:r>
      <w:r w:rsidR="00E54AEF" w:rsidRPr="002D1A01">
        <w:rPr>
          <w:rFonts w:ascii="Arial" w:hAnsi="Arial" w:cs="Arial" w:hint="eastAsia"/>
          <w:w w:val="0"/>
          <w:lang w:val="es-AR"/>
        </w:rPr>
        <w:t>á</w:t>
      </w:r>
      <w:r w:rsidR="00E54AEF" w:rsidRPr="002D1A01">
        <w:rPr>
          <w:rFonts w:ascii="Arial" w:hAnsi="Arial" w:cs="Arial"/>
          <w:w w:val="0"/>
          <w:lang w:val="es-AR"/>
        </w:rPr>
        <w:t xml:space="preserve"> relacionada principalmente </w:t>
      </w:r>
      <w:r w:rsidR="007E50D4">
        <w:rPr>
          <w:rFonts w:ascii="Arial" w:hAnsi="Arial" w:cs="Arial"/>
          <w:w w:val="0"/>
          <w:lang w:val="es-AR"/>
        </w:rPr>
        <w:t xml:space="preserve">con </w:t>
      </w:r>
      <w:r w:rsidR="007E50D4" w:rsidRPr="002D1A01">
        <w:rPr>
          <w:rFonts w:ascii="Arial" w:hAnsi="Arial" w:cs="Arial"/>
          <w:w w:val="0"/>
          <w:lang w:val="es-AR"/>
        </w:rPr>
        <w:t>incrementos en los gastos de personal, mayores cargos por licencias informáticas, muchas de las cuales se encuentran dolarizadas, y por publicidad institucional, sumados a mayores cargos por depreciaciones de activos fijos compensados parcialmente con los ingresos obtenidos por el segmento.</w:t>
      </w:r>
    </w:p>
    <w:p w14:paraId="3142D34C" w14:textId="2C551CC9" w:rsidR="00165503" w:rsidRPr="0058416B" w:rsidRDefault="00155631" w:rsidP="0058416B">
      <w:pPr>
        <w:spacing w:after="120" w:line="288" w:lineRule="auto"/>
        <w:jc w:val="both"/>
        <w:rPr>
          <w:rFonts w:ascii="Arial" w:hAnsi="Arial" w:cs="Arial"/>
          <w:w w:val="0"/>
          <w:lang w:val="es-AR"/>
        </w:rPr>
      </w:pPr>
      <w:r w:rsidRPr="002D1A01">
        <w:rPr>
          <w:rFonts w:ascii="Arial" w:hAnsi="Arial" w:cs="Arial"/>
          <w:w w:val="0"/>
          <w:lang w:val="es-AR"/>
        </w:rPr>
        <w:t>Por su parte, los ajustes de consolidación, que corresponden a la eliminación de los resultados entre los distintos segmentos de negocios que no han tras</w:t>
      </w:r>
      <w:r w:rsidR="00E31A44" w:rsidRPr="002D1A01">
        <w:rPr>
          <w:rFonts w:ascii="Arial" w:hAnsi="Arial" w:cs="Arial"/>
          <w:w w:val="0"/>
          <w:lang w:val="es-AR"/>
        </w:rPr>
        <w:t>cendido a terceros, tuvieron un</w:t>
      </w:r>
      <w:r w:rsidRPr="002D1A01">
        <w:rPr>
          <w:rFonts w:ascii="Arial" w:hAnsi="Arial" w:cs="Arial"/>
          <w:w w:val="0"/>
          <w:lang w:val="es-AR"/>
        </w:rPr>
        <w:t xml:space="preserve"> </w:t>
      </w:r>
      <w:r w:rsidR="00E31A44" w:rsidRPr="002D1A01">
        <w:rPr>
          <w:rFonts w:ascii="Arial" w:hAnsi="Arial" w:cs="Arial"/>
          <w:w w:val="0"/>
          <w:lang w:val="es-AR"/>
        </w:rPr>
        <w:t xml:space="preserve">importe </w:t>
      </w:r>
      <w:r w:rsidR="00947F49" w:rsidRPr="002D1A01">
        <w:rPr>
          <w:rFonts w:ascii="Arial" w:hAnsi="Arial" w:cs="Arial"/>
          <w:w w:val="0"/>
          <w:lang w:val="es-AR"/>
        </w:rPr>
        <w:t xml:space="preserve">positivo </w:t>
      </w:r>
      <w:r w:rsidRPr="002D1A01">
        <w:rPr>
          <w:rFonts w:ascii="Arial" w:hAnsi="Arial" w:cs="Arial"/>
          <w:w w:val="0"/>
          <w:lang w:val="es-AR"/>
        </w:rPr>
        <w:t xml:space="preserve">de </w:t>
      </w:r>
      <w:proofErr w:type="spellStart"/>
      <w:r w:rsidR="009701C3" w:rsidRPr="002D1A01">
        <w:rPr>
          <w:rFonts w:ascii="Arial" w:hAnsi="Arial" w:cs="Arial"/>
          <w:w w:val="0"/>
          <w:lang w:val="es-AR"/>
        </w:rPr>
        <w:t>Ps</w:t>
      </w:r>
      <w:proofErr w:type="spellEnd"/>
      <w:r w:rsidR="009701C3" w:rsidRPr="002D1A01">
        <w:rPr>
          <w:rFonts w:ascii="Arial" w:hAnsi="Arial" w:cs="Arial"/>
          <w:w w:val="0"/>
          <w:lang w:val="es-AR"/>
        </w:rPr>
        <w:t xml:space="preserve"> </w:t>
      </w:r>
      <w:r w:rsidR="00616156" w:rsidRPr="002D1A01">
        <w:rPr>
          <w:rFonts w:ascii="Arial" w:hAnsi="Arial" w:cs="Arial"/>
          <w:w w:val="0"/>
          <w:lang w:val="es-AR"/>
        </w:rPr>
        <w:t>2,5</w:t>
      </w:r>
      <w:r w:rsidR="009B49D8" w:rsidRPr="002D1A01">
        <w:rPr>
          <w:rFonts w:ascii="Arial" w:hAnsi="Arial" w:cs="Arial"/>
          <w:w w:val="0"/>
          <w:lang w:val="es-AR"/>
        </w:rPr>
        <w:t xml:space="preserve"> </w:t>
      </w:r>
      <w:r w:rsidR="00563DD2" w:rsidRPr="002D1A01">
        <w:rPr>
          <w:rFonts w:ascii="Arial" w:hAnsi="Arial" w:cs="Arial"/>
          <w:w w:val="0"/>
          <w:lang w:val="es-AR"/>
        </w:rPr>
        <w:t>MM</w:t>
      </w:r>
      <w:r w:rsidR="009B49D8" w:rsidRPr="002D1A01">
        <w:rPr>
          <w:rFonts w:ascii="Arial" w:hAnsi="Arial" w:cs="Arial"/>
          <w:w w:val="0"/>
          <w:lang w:val="es-AR"/>
        </w:rPr>
        <w:t xml:space="preserve"> en el </w:t>
      </w:r>
      <w:r w:rsidR="00BC18E4" w:rsidRPr="002D1A01">
        <w:rPr>
          <w:rFonts w:ascii="Arial" w:hAnsi="Arial" w:cs="Arial"/>
          <w:w w:val="0"/>
          <w:lang w:val="es-AR"/>
        </w:rPr>
        <w:t xml:space="preserve">segundo </w:t>
      </w:r>
      <w:r w:rsidR="001B634F" w:rsidRPr="002D1A01">
        <w:rPr>
          <w:rFonts w:ascii="Arial" w:hAnsi="Arial" w:cs="Arial"/>
          <w:w w:val="0"/>
          <w:lang w:val="es-AR"/>
        </w:rPr>
        <w:t xml:space="preserve">trimestre del año </w:t>
      </w:r>
      <w:r w:rsidR="009B49D8" w:rsidRPr="002D1A01">
        <w:rPr>
          <w:rFonts w:ascii="Arial" w:hAnsi="Arial" w:cs="Arial"/>
          <w:w w:val="0"/>
          <w:lang w:val="es-AR"/>
        </w:rPr>
        <w:t>201</w:t>
      </w:r>
      <w:r w:rsidR="001B634F" w:rsidRPr="002D1A01">
        <w:rPr>
          <w:rFonts w:ascii="Arial" w:hAnsi="Arial" w:cs="Arial"/>
          <w:w w:val="0"/>
          <w:lang w:val="es-AR"/>
        </w:rPr>
        <w:t>9</w:t>
      </w:r>
      <w:r w:rsidR="009B49D8" w:rsidRPr="002D1A01">
        <w:rPr>
          <w:rFonts w:ascii="Arial" w:hAnsi="Arial" w:cs="Arial"/>
          <w:w w:val="0"/>
          <w:lang w:val="es-AR"/>
        </w:rPr>
        <w:t xml:space="preserve"> y de </w:t>
      </w:r>
      <w:r w:rsidR="007A6ED7" w:rsidRPr="002D1A01">
        <w:rPr>
          <w:rFonts w:ascii="Arial" w:hAnsi="Arial" w:cs="Arial"/>
          <w:w w:val="0"/>
          <w:lang w:val="es-AR"/>
        </w:rPr>
        <w:t xml:space="preserve">un monto negativo de </w:t>
      </w:r>
      <w:proofErr w:type="spellStart"/>
      <w:r w:rsidR="009701C3" w:rsidRPr="002D1A01">
        <w:rPr>
          <w:rFonts w:ascii="Arial" w:hAnsi="Arial" w:cs="Arial"/>
          <w:w w:val="0"/>
          <w:lang w:val="es-AR"/>
        </w:rPr>
        <w:t>Ps</w:t>
      </w:r>
      <w:proofErr w:type="spellEnd"/>
      <w:r w:rsidR="009701C3" w:rsidRPr="002D1A01">
        <w:rPr>
          <w:rFonts w:ascii="Arial" w:hAnsi="Arial" w:cs="Arial"/>
          <w:w w:val="0"/>
          <w:lang w:val="es-AR"/>
        </w:rPr>
        <w:t xml:space="preserve"> </w:t>
      </w:r>
      <w:r w:rsidR="00616156" w:rsidRPr="002D1A01">
        <w:rPr>
          <w:rFonts w:ascii="Arial" w:hAnsi="Arial" w:cs="Arial"/>
          <w:w w:val="0"/>
          <w:lang w:val="es-AR"/>
        </w:rPr>
        <w:t xml:space="preserve">0,8 MM </w:t>
      </w:r>
      <w:r w:rsidR="009B49D8" w:rsidRPr="002D1A01">
        <w:rPr>
          <w:rFonts w:ascii="Arial" w:hAnsi="Arial" w:cs="Arial"/>
          <w:w w:val="0"/>
          <w:lang w:val="es-AR"/>
        </w:rPr>
        <w:t xml:space="preserve">en </w:t>
      </w:r>
      <w:r w:rsidR="00616156" w:rsidRPr="002D1A01">
        <w:rPr>
          <w:rFonts w:ascii="Arial" w:hAnsi="Arial" w:cs="Arial"/>
          <w:w w:val="0"/>
          <w:lang w:val="es-AR"/>
        </w:rPr>
        <w:t xml:space="preserve">el segundo trimestre </w:t>
      </w:r>
      <w:r w:rsidR="009B49D8" w:rsidRPr="002D1A01">
        <w:rPr>
          <w:rFonts w:ascii="Arial" w:hAnsi="Arial" w:cs="Arial"/>
          <w:w w:val="0"/>
          <w:lang w:val="es-AR"/>
        </w:rPr>
        <w:t>201</w:t>
      </w:r>
      <w:r w:rsidR="001B634F" w:rsidRPr="002D1A01">
        <w:rPr>
          <w:rFonts w:ascii="Arial" w:hAnsi="Arial" w:cs="Arial"/>
          <w:w w:val="0"/>
          <w:lang w:val="es-AR"/>
        </w:rPr>
        <w:t>8</w:t>
      </w:r>
      <w:r w:rsidR="001325BC" w:rsidRPr="002D1A01">
        <w:rPr>
          <w:rFonts w:ascii="Arial" w:hAnsi="Arial" w:cs="Arial"/>
          <w:w w:val="0"/>
          <w:lang w:val="es-AR"/>
        </w:rPr>
        <w:t>.</w:t>
      </w:r>
      <w:r w:rsidR="00CA0BD0" w:rsidRPr="002D1A01">
        <w:rPr>
          <w:rFonts w:ascii="Arial" w:hAnsi="Arial" w:cs="Arial"/>
          <w:w w:val="0"/>
          <w:lang w:val="es-AR"/>
        </w:rPr>
        <w:t xml:space="preserve"> </w:t>
      </w:r>
      <w:r w:rsidR="00165503" w:rsidRPr="002D1A01">
        <w:rPr>
          <w:rFonts w:ascii="Arial" w:hAnsi="Arial" w:cs="Arial"/>
          <w:w w:val="0"/>
          <w:lang w:val="es-AR"/>
        </w:rPr>
        <w:t xml:space="preserve">En el presente trimestre disminuyó la brecha entre los precios de transferencia entre negocios y el costo de reposición de los inventarios de la </w:t>
      </w:r>
      <w:r w:rsidR="004A0037" w:rsidRPr="002D1A01">
        <w:rPr>
          <w:rFonts w:ascii="Arial" w:hAnsi="Arial" w:cs="Arial"/>
          <w:w w:val="0"/>
          <w:lang w:val="es-AR"/>
        </w:rPr>
        <w:t>compañía</w:t>
      </w:r>
      <w:r w:rsidR="00165503" w:rsidRPr="002D1A01">
        <w:rPr>
          <w:rFonts w:ascii="Arial" w:hAnsi="Arial" w:cs="Arial"/>
          <w:w w:val="0"/>
          <w:lang w:val="es-AR"/>
        </w:rPr>
        <w:t xml:space="preserve">, mientras que, en el </w:t>
      </w:r>
      <w:r w:rsidR="00BC18E4" w:rsidRPr="002D1A01">
        <w:rPr>
          <w:rFonts w:ascii="Arial" w:hAnsi="Arial" w:cs="Arial"/>
          <w:w w:val="0"/>
          <w:lang w:val="es-AR"/>
        </w:rPr>
        <w:t>segundo</w:t>
      </w:r>
      <w:r w:rsidR="00165503" w:rsidRPr="002D1A01">
        <w:rPr>
          <w:rFonts w:ascii="Arial" w:hAnsi="Arial" w:cs="Arial"/>
          <w:w w:val="0"/>
          <w:lang w:val="es-AR"/>
        </w:rPr>
        <w:t xml:space="preserve"> trimestre de 2018, la misma se había ampliado. En ambos casos, el movimiento de los precios de transferencia refleja las variaciones de los precios de mercado, especialmente del petróleo crudo.</w:t>
      </w:r>
    </w:p>
    <w:bookmarkEnd w:id="89"/>
    <w:p w14:paraId="0B3D5065" w14:textId="1FC3948E" w:rsidR="000955DF" w:rsidRPr="00051560" w:rsidRDefault="000955DF" w:rsidP="0058416B">
      <w:pPr>
        <w:spacing w:after="120" w:line="288" w:lineRule="auto"/>
        <w:jc w:val="both"/>
        <w:rPr>
          <w:rFonts w:ascii="Arial" w:hAnsi="Arial" w:cs="Arial"/>
          <w:spacing w:val="-3"/>
          <w:lang w:val="es-AR"/>
        </w:rPr>
      </w:pPr>
    </w:p>
    <w:p w14:paraId="4A41D8D4" w14:textId="0B33E528" w:rsidR="0005681C" w:rsidRDefault="000B335A" w:rsidP="0005681C">
      <w:pPr>
        <w:spacing w:after="0" w:line="240" w:lineRule="auto"/>
        <w:jc w:val="both"/>
        <w:rPr>
          <w:rFonts w:ascii="Arial" w:hAnsi="Arial" w:cs="Arial"/>
          <w:b/>
          <w:sz w:val="24"/>
          <w:u w:val="single"/>
          <w:lang w:val="es-AR"/>
        </w:rPr>
      </w:pPr>
      <w:r w:rsidRPr="003D5E00">
        <w:rPr>
          <w:rFonts w:ascii="Arial" w:hAnsi="Arial" w:cs="Arial"/>
          <w:b/>
          <w:sz w:val="24"/>
          <w:u w:val="single"/>
          <w:lang w:val="es-AR"/>
        </w:rPr>
        <w:t>4</w:t>
      </w:r>
      <w:r w:rsidR="002D605D" w:rsidRPr="003D5E00">
        <w:rPr>
          <w:rFonts w:ascii="Arial" w:hAnsi="Arial" w:cs="Arial"/>
          <w:b/>
          <w:sz w:val="24"/>
          <w:u w:val="single"/>
          <w:lang w:val="es-AR"/>
        </w:rPr>
        <w:t>.</w:t>
      </w:r>
      <w:r w:rsidR="0005681C" w:rsidRPr="003D5E00">
        <w:rPr>
          <w:rFonts w:ascii="Arial" w:hAnsi="Arial" w:cs="Arial"/>
          <w:b/>
          <w:sz w:val="24"/>
          <w:u w:val="single"/>
          <w:lang w:val="es-AR"/>
        </w:rPr>
        <w:t xml:space="preserve"> LIQUIDEZ Y RECURSOS DE CAPITAL</w:t>
      </w:r>
    </w:p>
    <w:p w14:paraId="5B282850" w14:textId="77777777" w:rsidR="0005681C" w:rsidRDefault="0005681C" w:rsidP="0005681C">
      <w:pPr>
        <w:spacing w:after="0" w:line="240" w:lineRule="auto"/>
        <w:jc w:val="both"/>
        <w:rPr>
          <w:rFonts w:cs="Arial"/>
          <w:b/>
          <w:sz w:val="24"/>
          <w:lang w:val="es-AR"/>
        </w:rPr>
      </w:pPr>
    </w:p>
    <w:p w14:paraId="602E97AA" w14:textId="1B7CC913" w:rsidR="00731EB3" w:rsidRPr="00731EB3" w:rsidRDefault="001B634F" w:rsidP="00731EB3">
      <w:pPr>
        <w:spacing w:after="120" w:line="288" w:lineRule="auto"/>
        <w:jc w:val="both"/>
        <w:rPr>
          <w:rFonts w:ascii="Arial" w:hAnsi="Arial" w:cs="Arial"/>
          <w:w w:val="0"/>
          <w:lang w:val="es-AR"/>
        </w:rPr>
      </w:pPr>
      <w:r w:rsidRPr="007604D8">
        <w:rPr>
          <w:rFonts w:ascii="Arial" w:hAnsi="Arial" w:cs="Arial"/>
          <w:w w:val="0"/>
          <w:lang w:val="es-AR"/>
        </w:rPr>
        <w:t xml:space="preserve">Durante el </w:t>
      </w:r>
      <w:r w:rsidR="00BC18E4" w:rsidRPr="007604D8">
        <w:rPr>
          <w:rFonts w:ascii="Arial" w:hAnsi="Arial" w:cs="Arial"/>
          <w:w w:val="0"/>
          <w:lang w:val="es-AR"/>
        </w:rPr>
        <w:t>segundo</w:t>
      </w:r>
      <w:r w:rsidRPr="007604D8">
        <w:rPr>
          <w:rFonts w:ascii="Arial" w:hAnsi="Arial" w:cs="Arial"/>
          <w:w w:val="0"/>
          <w:lang w:val="es-AR"/>
        </w:rPr>
        <w:t xml:space="preserve"> trimestre del año </w:t>
      </w:r>
      <w:r w:rsidR="00DE0877" w:rsidRPr="007604D8">
        <w:rPr>
          <w:rFonts w:ascii="Arial" w:hAnsi="Arial" w:cs="Arial"/>
          <w:w w:val="0"/>
          <w:lang w:val="es-AR"/>
        </w:rPr>
        <w:t>201</w:t>
      </w:r>
      <w:r w:rsidRPr="007604D8">
        <w:rPr>
          <w:rFonts w:ascii="Arial" w:hAnsi="Arial" w:cs="Arial"/>
          <w:w w:val="0"/>
          <w:lang w:val="es-AR"/>
        </w:rPr>
        <w:t>9</w:t>
      </w:r>
      <w:r w:rsidR="00B204DE" w:rsidRPr="007604D8">
        <w:rPr>
          <w:rFonts w:ascii="Arial" w:hAnsi="Arial" w:cs="Arial"/>
          <w:w w:val="0"/>
          <w:lang w:val="es-AR"/>
        </w:rPr>
        <w:t xml:space="preserve">, la generación de caja operativa alcanzó los </w:t>
      </w:r>
      <w:proofErr w:type="spellStart"/>
      <w:r w:rsidR="00B204DE" w:rsidRPr="007604D8">
        <w:rPr>
          <w:rFonts w:ascii="Arial" w:hAnsi="Arial" w:cs="Arial"/>
          <w:w w:val="0"/>
          <w:lang w:val="es-AR"/>
        </w:rPr>
        <w:t>Ps</w:t>
      </w:r>
      <w:proofErr w:type="spellEnd"/>
      <w:r w:rsidR="00B204DE" w:rsidRPr="007604D8">
        <w:rPr>
          <w:rFonts w:ascii="Arial" w:hAnsi="Arial" w:cs="Arial"/>
          <w:w w:val="0"/>
          <w:lang w:val="es-AR"/>
        </w:rPr>
        <w:t xml:space="preserve"> </w:t>
      </w:r>
      <w:r w:rsidR="00AD5FE1">
        <w:rPr>
          <w:rFonts w:ascii="Arial" w:hAnsi="Arial" w:cs="Arial"/>
          <w:w w:val="0"/>
          <w:lang w:val="es-AR"/>
        </w:rPr>
        <w:t>40,7</w:t>
      </w:r>
      <w:r w:rsidR="003C7242" w:rsidRPr="007604D8">
        <w:rPr>
          <w:rFonts w:ascii="Arial" w:hAnsi="Arial" w:cs="Arial"/>
          <w:w w:val="0"/>
          <w:lang w:val="es-AR"/>
        </w:rPr>
        <w:t xml:space="preserve"> </w:t>
      </w:r>
      <w:r w:rsidR="00B204DE" w:rsidRPr="007604D8">
        <w:rPr>
          <w:rFonts w:ascii="Arial" w:hAnsi="Arial" w:cs="Arial"/>
          <w:w w:val="0"/>
          <w:lang w:val="es-AR"/>
        </w:rPr>
        <w:t xml:space="preserve">MM, </w:t>
      </w:r>
      <w:r w:rsidR="003C7242" w:rsidRPr="007604D8">
        <w:rPr>
          <w:rFonts w:ascii="Arial" w:hAnsi="Arial" w:cs="Arial"/>
          <w:w w:val="0"/>
          <w:lang w:val="es-AR"/>
        </w:rPr>
        <w:t xml:space="preserve">un </w:t>
      </w:r>
      <w:r w:rsidR="00AD5FE1">
        <w:rPr>
          <w:rFonts w:ascii="Arial" w:hAnsi="Arial" w:cs="Arial"/>
          <w:w w:val="0"/>
          <w:lang w:val="es-AR"/>
        </w:rPr>
        <w:t>47,6</w:t>
      </w:r>
      <w:r w:rsidRPr="007604D8">
        <w:rPr>
          <w:rFonts w:ascii="Arial" w:hAnsi="Arial" w:cs="Arial"/>
          <w:w w:val="0"/>
          <w:lang w:val="es-AR"/>
        </w:rPr>
        <w:t xml:space="preserve">% superior a la del mismo periodo del año </w:t>
      </w:r>
      <w:r w:rsidR="003C7242" w:rsidRPr="007604D8">
        <w:rPr>
          <w:rFonts w:ascii="Arial" w:hAnsi="Arial" w:cs="Arial"/>
          <w:w w:val="0"/>
          <w:lang w:val="es-AR"/>
        </w:rPr>
        <w:t xml:space="preserve">anterior. Esta variación de </w:t>
      </w:r>
      <w:proofErr w:type="spellStart"/>
      <w:r w:rsidR="003C7242" w:rsidRPr="007604D8">
        <w:rPr>
          <w:rFonts w:ascii="Arial" w:hAnsi="Arial" w:cs="Arial"/>
          <w:w w:val="0"/>
          <w:lang w:val="es-AR"/>
        </w:rPr>
        <w:t>Ps</w:t>
      </w:r>
      <w:proofErr w:type="spellEnd"/>
      <w:r w:rsidR="003C7242" w:rsidRPr="007604D8">
        <w:rPr>
          <w:rFonts w:ascii="Arial" w:hAnsi="Arial" w:cs="Arial"/>
          <w:w w:val="0"/>
          <w:lang w:val="es-AR"/>
        </w:rPr>
        <w:t xml:space="preserve"> </w:t>
      </w:r>
      <w:r w:rsidR="00AD5FE1">
        <w:rPr>
          <w:rFonts w:ascii="Arial" w:hAnsi="Arial" w:cs="Arial"/>
          <w:w w:val="0"/>
          <w:lang w:val="es-AR"/>
        </w:rPr>
        <w:t>13,1</w:t>
      </w:r>
      <w:r w:rsidR="009E7150">
        <w:rPr>
          <w:rFonts w:ascii="Arial" w:hAnsi="Arial" w:cs="Arial"/>
          <w:w w:val="0"/>
          <w:lang w:val="es-AR"/>
        </w:rPr>
        <w:t xml:space="preserve"> </w:t>
      </w:r>
      <w:r w:rsidR="003C7242" w:rsidRPr="007604D8">
        <w:rPr>
          <w:rFonts w:ascii="Arial" w:hAnsi="Arial" w:cs="Arial"/>
          <w:w w:val="0"/>
          <w:lang w:val="es-AR"/>
        </w:rPr>
        <w:t>MM tuvo lugar principalmente por el aumento del EBITDA de</w:t>
      </w:r>
      <w:r w:rsidR="000A4E92" w:rsidRPr="007604D8">
        <w:rPr>
          <w:rFonts w:ascii="Arial" w:hAnsi="Arial" w:cs="Arial"/>
          <w:w w:val="0"/>
          <w:lang w:val="es-AR"/>
        </w:rPr>
        <w:t xml:space="preserve"> </w:t>
      </w:r>
      <w:proofErr w:type="spellStart"/>
      <w:r w:rsidR="000A4E92" w:rsidRPr="00465524">
        <w:rPr>
          <w:rFonts w:ascii="Arial" w:hAnsi="Arial" w:cs="Arial"/>
          <w:w w:val="0"/>
          <w:lang w:val="es-AR"/>
        </w:rPr>
        <w:t>Ps</w:t>
      </w:r>
      <w:proofErr w:type="spellEnd"/>
      <w:r w:rsidR="000A4E92" w:rsidRPr="00465524">
        <w:rPr>
          <w:rFonts w:ascii="Arial" w:hAnsi="Arial" w:cs="Arial"/>
          <w:w w:val="0"/>
          <w:lang w:val="es-AR"/>
        </w:rPr>
        <w:t xml:space="preserve"> </w:t>
      </w:r>
      <w:r w:rsidR="007604D8" w:rsidRPr="00465524">
        <w:rPr>
          <w:rFonts w:ascii="Arial" w:hAnsi="Arial" w:cs="Arial"/>
          <w:w w:val="0"/>
          <w:lang w:val="es-AR"/>
        </w:rPr>
        <w:t>19,4</w:t>
      </w:r>
      <w:r w:rsidR="00465524" w:rsidRPr="00465524">
        <w:rPr>
          <w:rFonts w:ascii="Arial" w:hAnsi="Arial" w:cs="Arial"/>
          <w:w w:val="0"/>
          <w:lang w:val="es-AR"/>
        </w:rPr>
        <w:t xml:space="preserve"> MM, </w:t>
      </w:r>
      <w:r w:rsidR="00731EB3" w:rsidRPr="00731EB3">
        <w:rPr>
          <w:rFonts w:ascii="Arial" w:hAnsi="Arial" w:cs="Arial"/>
          <w:w w:val="0"/>
          <w:lang w:val="es-AR"/>
        </w:rPr>
        <w:t xml:space="preserve">y en menor medida por variaciones de capital de trabajo negativas, las cuales incluyen los pagos por adhesión al revalúo impositivo establecido en la Ley </w:t>
      </w:r>
      <w:proofErr w:type="spellStart"/>
      <w:r w:rsidR="00731EB3" w:rsidRPr="00731EB3">
        <w:rPr>
          <w:rFonts w:ascii="Arial" w:hAnsi="Arial" w:cs="Arial"/>
          <w:w w:val="0"/>
          <w:lang w:val="es-AR"/>
        </w:rPr>
        <w:t>N°</w:t>
      </w:r>
      <w:proofErr w:type="spellEnd"/>
      <w:r w:rsidR="00731EB3" w:rsidRPr="00731EB3">
        <w:rPr>
          <w:rFonts w:ascii="Arial" w:hAnsi="Arial" w:cs="Arial"/>
          <w:w w:val="0"/>
          <w:lang w:val="es-AR"/>
        </w:rPr>
        <w:t xml:space="preserve"> 27.430 y asimismo, por la adhesión al plan de facilidades de pago establecido por la RG </w:t>
      </w:r>
      <w:proofErr w:type="spellStart"/>
      <w:r w:rsidR="00731EB3" w:rsidRPr="00731EB3">
        <w:rPr>
          <w:rFonts w:ascii="Arial" w:hAnsi="Arial" w:cs="Arial"/>
          <w:w w:val="0"/>
          <w:lang w:val="es-AR"/>
        </w:rPr>
        <w:t>N°</w:t>
      </w:r>
      <w:proofErr w:type="spellEnd"/>
      <w:r w:rsidR="00731EB3" w:rsidRPr="00731EB3">
        <w:rPr>
          <w:rFonts w:ascii="Arial" w:hAnsi="Arial" w:cs="Arial"/>
          <w:w w:val="0"/>
          <w:lang w:val="es-AR"/>
        </w:rPr>
        <w:t xml:space="preserve"> 4477/2019 en relación con la deducción del costo de abandono de pozos correspondiente a los periodos 2005 a 2010 del Impuesto a las Ganancias</w:t>
      </w:r>
      <w:r w:rsidR="00A55AAF">
        <w:rPr>
          <w:rFonts w:ascii="Arial" w:hAnsi="Arial" w:cs="Arial"/>
          <w:w w:val="0"/>
          <w:lang w:val="es-AR"/>
        </w:rPr>
        <w:t xml:space="preserve">, </w:t>
      </w:r>
      <w:r w:rsidR="00A55AAF" w:rsidRPr="00A55AAF">
        <w:rPr>
          <w:rFonts w:ascii="Arial" w:hAnsi="Arial" w:cs="Arial"/>
          <w:lang w:val="es-AR"/>
        </w:rPr>
        <w:t xml:space="preserve">mayores cuentas a cobrar originadas en las mayores ventas del </w:t>
      </w:r>
      <w:r w:rsidR="00AC25FB">
        <w:rPr>
          <w:rFonts w:ascii="Arial" w:hAnsi="Arial" w:cs="Arial"/>
          <w:lang w:val="es-AR"/>
        </w:rPr>
        <w:t>trimestre</w:t>
      </w:r>
      <w:r w:rsidR="00A55AAF" w:rsidRPr="00A55AAF">
        <w:rPr>
          <w:rFonts w:ascii="Arial" w:hAnsi="Arial" w:cs="Arial"/>
          <w:lang w:val="es-AR"/>
        </w:rPr>
        <w:t>, compensado parcialmente con el cobro de cinco cuotas de los Bonos “Programas Gas Natural</w:t>
      </w:r>
      <w:r w:rsidR="00A55AAF">
        <w:rPr>
          <w:rFonts w:ascii="Arial" w:hAnsi="Arial" w:cs="Arial"/>
          <w:lang w:val="es-AR"/>
        </w:rPr>
        <w:t>”</w:t>
      </w:r>
      <w:r w:rsidR="00731EB3" w:rsidRPr="00731EB3">
        <w:rPr>
          <w:rFonts w:ascii="Arial" w:hAnsi="Arial" w:cs="Arial"/>
          <w:w w:val="0"/>
          <w:lang w:val="es-AR"/>
        </w:rPr>
        <w:t xml:space="preserve">. La generación de fondos durante el segundo trimestre de 2019 no permitió afrontar el monto que la </w:t>
      </w:r>
      <w:r w:rsidR="006E4BFA">
        <w:rPr>
          <w:rFonts w:ascii="Arial" w:hAnsi="Arial" w:cs="Arial"/>
          <w:w w:val="0"/>
          <w:lang w:val="es-AR"/>
        </w:rPr>
        <w:t>Compañía</w:t>
      </w:r>
      <w:r w:rsidR="00731EB3" w:rsidRPr="00731EB3">
        <w:rPr>
          <w:rFonts w:ascii="Arial" w:hAnsi="Arial" w:cs="Arial"/>
          <w:w w:val="0"/>
          <w:lang w:val="es-AR"/>
        </w:rPr>
        <w:t xml:space="preserve"> requirió para financiar las inversiones realizadas durante el presente período</w:t>
      </w:r>
      <w:r w:rsidR="00EC0F8C">
        <w:rPr>
          <w:rFonts w:ascii="Arial" w:hAnsi="Arial" w:cs="Arial"/>
          <w:w w:val="0"/>
          <w:lang w:val="es-AR"/>
        </w:rPr>
        <w:t xml:space="preserve">, </w:t>
      </w:r>
      <w:r w:rsidR="00EC0F8C" w:rsidRPr="007137F0">
        <w:rPr>
          <w:rFonts w:ascii="Arial" w:hAnsi="Arial" w:cs="Arial"/>
          <w:lang w:val="es-AR"/>
        </w:rPr>
        <w:t>fundamentalmente a partir de las inversiones estratégicas realizadas en la Central Térmica Ensenada de Barragán y en el área Aguada del Chañar</w:t>
      </w:r>
      <w:r w:rsidR="00A03820">
        <w:rPr>
          <w:rFonts w:ascii="Arial" w:hAnsi="Arial" w:cs="Arial"/>
          <w:lang w:val="es-AR"/>
        </w:rPr>
        <w:t>.</w:t>
      </w:r>
    </w:p>
    <w:p w14:paraId="509061A0" w14:textId="7608F70B" w:rsidR="00EC0F8C" w:rsidRDefault="00B204DE" w:rsidP="00731EB3">
      <w:pPr>
        <w:spacing w:after="120" w:line="288" w:lineRule="auto"/>
        <w:jc w:val="both"/>
        <w:rPr>
          <w:rFonts w:ascii="Arial" w:hAnsi="Arial" w:cs="Arial"/>
          <w:w w:val="0"/>
          <w:lang w:val="es-AR"/>
        </w:rPr>
      </w:pPr>
      <w:r w:rsidRPr="007604D8">
        <w:rPr>
          <w:rFonts w:ascii="Arial" w:hAnsi="Arial" w:cs="Arial"/>
          <w:w w:val="0"/>
          <w:lang w:val="es-AR"/>
        </w:rPr>
        <w:t xml:space="preserve">El flujo de efectivo aplicado a las actividades de inversión alcanzó un total de </w:t>
      </w:r>
      <w:proofErr w:type="spellStart"/>
      <w:r w:rsidR="005265CF" w:rsidRPr="007604D8">
        <w:rPr>
          <w:rFonts w:ascii="Arial" w:hAnsi="Arial" w:cs="Arial"/>
          <w:w w:val="0"/>
          <w:lang w:val="es-AR"/>
        </w:rPr>
        <w:t>Ps</w:t>
      </w:r>
      <w:proofErr w:type="spellEnd"/>
      <w:r w:rsidR="005265CF" w:rsidRPr="007604D8">
        <w:rPr>
          <w:rFonts w:ascii="Arial" w:hAnsi="Arial" w:cs="Arial"/>
          <w:w w:val="0"/>
          <w:lang w:val="es-AR"/>
        </w:rPr>
        <w:t xml:space="preserve"> </w:t>
      </w:r>
      <w:r w:rsidR="001774ED">
        <w:rPr>
          <w:rFonts w:ascii="Arial" w:hAnsi="Arial" w:cs="Arial"/>
          <w:w w:val="0"/>
          <w:lang w:val="es-AR"/>
        </w:rPr>
        <w:t>48,0</w:t>
      </w:r>
      <w:r w:rsidRPr="007604D8">
        <w:rPr>
          <w:rFonts w:ascii="Arial" w:hAnsi="Arial" w:cs="Arial"/>
          <w:w w:val="0"/>
          <w:lang w:val="es-AR"/>
        </w:rPr>
        <w:t xml:space="preserve"> MM </w:t>
      </w:r>
      <w:r w:rsidR="003C7242" w:rsidRPr="007604D8">
        <w:rPr>
          <w:rFonts w:ascii="Arial" w:hAnsi="Arial" w:cs="Arial"/>
          <w:w w:val="0"/>
          <w:lang w:val="es-AR"/>
        </w:rPr>
        <w:t xml:space="preserve">durante el </w:t>
      </w:r>
      <w:r w:rsidR="00BC18E4" w:rsidRPr="007604D8">
        <w:rPr>
          <w:rFonts w:ascii="Arial" w:hAnsi="Arial" w:cs="Arial"/>
          <w:w w:val="0"/>
          <w:lang w:val="es-AR"/>
        </w:rPr>
        <w:t xml:space="preserve">segundo </w:t>
      </w:r>
      <w:r w:rsidR="00932DFD" w:rsidRPr="007604D8">
        <w:rPr>
          <w:rFonts w:ascii="Arial" w:hAnsi="Arial" w:cs="Arial"/>
          <w:w w:val="0"/>
          <w:lang w:val="es-AR"/>
        </w:rPr>
        <w:t>trimestre del año 2019</w:t>
      </w:r>
      <w:r w:rsidR="003C7242" w:rsidRPr="007604D8">
        <w:rPr>
          <w:rFonts w:ascii="Arial" w:hAnsi="Arial" w:cs="Arial"/>
          <w:w w:val="0"/>
          <w:lang w:val="es-AR"/>
        </w:rPr>
        <w:t xml:space="preserve">, un </w:t>
      </w:r>
      <w:r w:rsidR="003670EF">
        <w:rPr>
          <w:rFonts w:ascii="Arial" w:hAnsi="Arial" w:cs="Arial"/>
          <w:w w:val="0"/>
          <w:lang w:val="es-AR"/>
        </w:rPr>
        <w:t>176,5</w:t>
      </w:r>
      <w:r w:rsidR="00932DFD" w:rsidRPr="007604D8">
        <w:rPr>
          <w:rFonts w:ascii="Arial" w:hAnsi="Arial" w:cs="Arial"/>
          <w:w w:val="0"/>
          <w:lang w:val="es-AR"/>
        </w:rPr>
        <w:t>% superior al del mismo periodo del año anterior</w:t>
      </w:r>
      <w:r w:rsidRPr="007604D8">
        <w:rPr>
          <w:rFonts w:ascii="Arial" w:hAnsi="Arial" w:cs="Arial"/>
          <w:w w:val="0"/>
          <w:lang w:val="es-AR"/>
        </w:rPr>
        <w:t xml:space="preserve">. </w:t>
      </w:r>
      <w:r w:rsidR="003C7242" w:rsidRPr="007604D8">
        <w:rPr>
          <w:rFonts w:ascii="Arial" w:hAnsi="Arial" w:cs="Arial"/>
          <w:w w:val="0"/>
          <w:lang w:val="es-AR"/>
        </w:rPr>
        <w:t xml:space="preserve">Por una parte, las inversiones en activos fijos e intangibles totalizaron </w:t>
      </w:r>
      <w:proofErr w:type="spellStart"/>
      <w:r w:rsidR="003C7242" w:rsidRPr="007604D8">
        <w:rPr>
          <w:rFonts w:ascii="Arial" w:hAnsi="Arial" w:cs="Arial"/>
          <w:w w:val="0"/>
          <w:lang w:val="es-AR"/>
        </w:rPr>
        <w:t>Ps</w:t>
      </w:r>
      <w:proofErr w:type="spellEnd"/>
      <w:r w:rsidR="003C7242" w:rsidRPr="007604D8">
        <w:rPr>
          <w:rFonts w:ascii="Arial" w:hAnsi="Arial" w:cs="Arial"/>
          <w:w w:val="0"/>
          <w:lang w:val="es-AR"/>
        </w:rPr>
        <w:t xml:space="preserve"> </w:t>
      </w:r>
      <w:r w:rsidR="003670EF">
        <w:rPr>
          <w:rFonts w:ascii="Arial" w:hAnsi="Arial" w:cs="Arial"/>
          <w:w w:val="0"/>
          <w:lang w:val="es-AR"/>
        </w:rPr>
        <w:t>43,8</w:t>
      </w:r>
      <w:r w:rsidR="003C7242" w:rsidRPr="007604D8">
        <w:rPr>
          <w:rFonts w:ascii="Arial" w:hAnsi="Arial" w:cs="Arial"/>
          <w:w w:val="0"/>
          <w:lang w:val="es-AR"/>
        </w:rPr>
        <w:t xml:space="preserve"> MMM en el </w:t>
      </w:r>
      <w:r w:rsidR="00BC18E4" w:rsidRPr="007604D8">
        <w:rPr>
          <w:rFonts w:ascii="Arial" w:hAnsi="Arial" w:cs="Arial"/>
          <w:w w:val="0"/>
          <w:lang w:val="es-AR"/>
        </w:rPr>
        <w:t>segundo</w:t>
      </w:r>
      <w:r w:rsidR="00932DFD" w:rsidRPr="007604D8">
        <w:rPr>
          <w:rFonts w:ascii="Arial" w:hAnsi="Arial" w:cs="Arial"/>
          <w:w w:val="0"/>
          <w:lang w:val="es-AR"/>
        </w:rPr>
        <w:t xml:space="preserve"> trimestre de 2019</w:t>
      </w:r>
      <w:r w:rsidR="003C7242" w:rsidRPr="007604D8">
        <w:rPr>
          <w:rFonts w:ascii="Arial" w:hAnsi="Arial" w:cs="Arial"/>
          <w:w w:val="0"/>
          <w:lang w:val="es-AR"/>
        </w:rPr>
        <w:t xml:space="preserve"> y fueron superiores en un </w:t>
      </w:r>
      <w:r w:rsidR="003670EF">
        <w:rPr>
          <w:rFonts w:ascii="Arial" w:hAnsi="Arial" w:cs="Arial"/>
          <w:w w:val="0"/>
          <w:lang w:val="es-AR"/>
        </w:rPr>
        <w:t>141,8</w:t>
      </w:r>
      <w:r w:rsidR="00932DFD" w:rsidRPr="007604D8">
        <w:rPr>
          <w:rFonts w:ascii="Arial" w:hAnsi="Arial" w:cs="Arial"/>
          <w:w w:val="0"/>
          <w:lang w:val="es-AR"/>
        </w:rPr>
        <w:t>% a las del mismo periodo del año anterior</w:t>
      </w:r>
      <w:r w:rsidR="00EC0F8C" w:rsidRPr="007137F0">
        <w:rPr>
          <w:rFonts w:ascii="Arial" w:hAnsi="Arial" w:cs="Arial"/>
          <w:w w:val="0"/>
          <w:lang w:val="es-AR"/>
        </w:rPr>
        <w:t xml:space="preserve">. Cabe destacar que con fecha 25 de junio de 2019, YPF adquirió la concesión de explotación del Área Aguada del Chañar por </w:t>
      </w:r>
      <w:proofErr w:type="spellStart"/>
      <w:r w:rsidR="00EC0F8C">
        <w:rPr>
          <w:rFonts w:ascii="Arial" w:hAnsi="Arial" w:cs="Arial"/>
          <w:w w:val="0"/>
          <w:lang w:val="es-AR"/>
        </w:rPr>
        <w:t>Ps</w:t>
      </w:r>
      <w:proofErr w:type="spellEnd"/>
      <w:r w:rsidR="00EC0F8C">
        <w:rPr>
          <w:rFonts w:ascii="Arial" w:hAnsi="Arial" w:cs="Arial"/>
          <w:w w:val="0"/>
          <w:lang w:val="es-AR"/>
        </w:rPr>
        <w:t xml:space="preserve"> 4,1 MM</w:t>
      </w:r>
      <w:r w:rsidR="00E92E52" w:rsidRPr="00E92E52">
        <w:rPr>
          <w:rFonts w:ascii="Arial" w:hAnsi="Arial" w:cs="Arial"/>
          <w:w w:val="0"/>
          <w:lang w:val="es-AR"/>
        </w:rPr>
        <w:t xml:space="preserve"> Adicionalmente</w:t>
      </w:r>
      <w:r w:rsidR="00EC0F8C">
        <w:rPr>
          <w:rFonts w:ascii="Arial" w:hAnsi="Arial" w:cs="Arial"/>
          <w:w w:val="0"/>
          <w:lang w:val="es-AR"/>
        </w:rPr>
        <w:t xml:space="preserve">, </w:t>
      </w:r>
      <w:r w:rsidR="00EC0F8C" w:rsidRPr="007137F0">
        <w:rPr>
          <w:rFonts w:ascii="Arial" w:hAnsi="Arial" w:cs="Arial"/>
          <w:w w:val="0"/>
          <w:lang w:val="es-AR"/>
        </w:rPr>
        <w:t xml:space="preserve">se registraron mayores aportes y adquisiciones en asociadas y negocios conjuntos por </w:t>
      </w:r>
      <w:proofErr w:type="spellStart"/>
      <w:r w:rsidR="00EC0F8C">
        <w:rPr>
          <w:rFonts w:ascii="Arial" w:hAnsi="Arial" w:cs="Arial"/>
          <w:w w:val="0"/>
          <w:lang w:val="es-AR"/>
        </w:rPr>
        <w:t>Ps</w:t>
      </w:r>
      <w:proofErr w:type="spellEnd"/>
      <w:r w:rsidR="00EC0F8C">
        <w:rPr>
          <w:rFonts w:ascii="Arial" w:hAnsi="Arial" w:cs="Arial"/>
          <w:w w:val="0"/>
          <w:lang w:val="es-AR"/>
        </w:rPr>
        <w:t xml:space="preserve"> 4,7 MM</w:t>
      </w:r>
      <w:r w:rsidR="00DC0666">
        <w:rPr>
          <w:rFonts w:ascii="Arial" w:hAnsi="Arial" w:cs="Arial"/>
          <w:w w:val="0"/>
          <w:lang w:val="es-AR"/>
        </w:rPr>
        <w:t>, principalmente</w:t>
      </w:r>
      <w:r w:rsidR="00EC0F8C">
        <w:rPr>
          <w:rFonts w:ascii="Arial" w:hAnsi="Arial" w:cs="Arial"/>
          <w:w w:val="0"/>
          <w:lang w:val="es-AR"/>
        </w:rPr>
        <w:t xml:space="preserve"> </w:t>
      </w:r>
      <w:r w:rsidR="00EC0F8C" w:rsidRPr="007137F0">
        <w:rPr>
          <w:rFonts w:ascii="Arial" w:hAnsi="Arial" w:cs="Arial"/>
          <w:w w:val="0"/>
          <w:lang w:val="es-AR"/>
        </w:rPr>
        <w:t>por la adquisición de la Central Térmica Ensenada de Barragán</w:t>
      </w:r>
      <w:r w:rsidR="0009610E">
        <w:rPr>
          <w:rFonts w:ascii="Arial" w:hAnsi="Arial" w:cs="Arial"/>
          <w:w w:val="0"/>
          <w:lang w:val="es-AR"/>
        </w:rPr>
        <w:t>.</w:t>
      </w:r>
      <w:r w:rsidR="00E92E52">
        <w:rPr>
          <w:rFonts w:ascii="Arial" w:hAnsi="Arial" w:cs="Arial"/>
          <w:w w:val="0"/>
          <w:lang w:val="es-AR"/>
        </w:rPr>
        <w:t xml:space="preserve"> </w:t>
      </w:r>
      <w:r w:rsidR="00E92E52" w:rsidRPr="00731EB3">
        <w:rPr>
          <w:rFonts w:ascii="Arial" w:hAnsi="Arial" w:cs="Arial"/>
          <w:w w:val="0"/>
          <w:lang w:val="es-AR"/>
        </w:rPr>
        <w:t xml:space="preserve">Por otra parte, durante el segundo trimestre de se percibieron </w:t>
      </w:r>
      <w:proofErr w:type="spellStart"/>
      <w:r w:rsidR="00E92E52">
        <w:rPr>
          <w:rFonts w:ascii="Arial" w:hAnsi="Arial" w:cs="Arial"/>
          <w:w w:val="0"/>
          <w:lang w:val="es-AR"/>
        </w:rPr>
        <w:t>Ps</w:t>
      </w:r>
      <w:proofErr w:type="spellEnd"/>
      <w:r w:rsidR="00E92E52">
        <w:rPr>
          <w:rFonts w:ascii="Arial" w:hAnsi="Arial" w:cs="Arial"/>
          <w:w w:val="0"/>
          <w:lang w:val="es-AR"/>
        </w:rPr>
        <w:t xml:space="preserve"> 0,5 MM </w:t>
      </w:r>
      <w:r w:rsidR="00E92E52" w:rsidRPr="00731EB3">
        <w:rPr>
          <w:rFonts w:ascii="Arial" w:hAnsi="Arial" w:cs="Arial"/>
          <w:w w:val="0"/>
          <w:lang w:val="es-AR"/>
        </w:rPr>
        <w:t>de intereses de los títulos públicos BONAR 2020 y 2021.</w:t>
      </w:r>
    </w:p>
    <w:p w14:paraId="544B17A7" w14:textId="54FDA382" w:rsidR="003C7242" w:rsidRPr="007604D8" w:rsidRDefault="003C7242" w:rsidP="001B6D14">
      <w:pPr>
        <w:spacing w:line="288" w:lineRule="auto"/>
        <w:jc w:val="both"/>
        <w:rPr>
          <w:rFonts w:ascii="Arial" w:hAnsi="Arial" w:cs="Arial"/>
          <w:w w:val="0"/>
          <w:lang w:val="es-AR"/>
        </w:rPr>
      </w:pPr>
      <w:r w:rsidRPr="007604D8">
        <w:rPr>
          <w:rFonts w:ascii="Arial" w:hAnsi="Arial" w:cs="Arial"/>
          <w:w w:val="0"/>
          <w:lang w:val="es-AR"/>
        </w:rPr>
        <w:lastRenderedPageBreak/>
        <w:t xml:space="preserve">A su vez, como resultado de sus actividades de financiación, durante el </w:t>
      </w:r>
      <w:r w:rsidR="00BC18E4" w:rsidRPr="007604D8">
        <w:rPr>
          <w:rFonts w:ascii="Arial" w:hAnsi="Arial" w:cs="Arial"/>
          <w:w w:val="0"/>
          <w:lang w:val="es-AR"/>
        </w:rPr>
        <w:t>segundo</w:t>
      </w:r>
      <w:r w:rsidR="00AA367F" w:rsidRPr="007604D8">
        <w:rPr>
          <w:rFonts w:ascii="Arial" w:hAnsi="Arial" w:cs="Arial"/>
          <w:w w:val="0"/>
          <w:lang w:val="es-AR"/>
        </w:rPr>
        <w:t xml:space="preserve"> trimestre de 2019 la compañía </w:t>
      </w:r>
      <w:r w:rsidR="003670EF">
        <w:rPr>
          <w:rFonts w:ascii="Arial" w:hAnsi="Arial" w:cs="Arial"/>
          <w:w w:val="0"/>
          <w:lang w:val="es-AR"/>
        </w:rPr>
        <w:t>tuvo un aumento neto</w:t>
      </w:r>
      <w:r w:rsidRPr="007604D8">
        <w:rPr>
          <w:rFonts w:ascii="Arial" w:hAnsi="Arial" w:cs="Arial"/>
          <w:w w:val="0"/>
          <w:lang w:val="es-AR"/>
        </w:rPr>
        <w:t xml:space="preserve"> de fondos de </w:t>
      </w:r>
      <w:proofErr w:type="spellStart"/>
      <w:r w:rsidR="001B6D14" w:rsidRPr="007604D8">
        <w:rPr>
          <w:rFonts w:ascii="Arial" w:hAnsi="Arial" w:cs="Arial"/>
          <w:w w:val="0"/>
          <w:lang w:val="es-AR"/>
        </w:rPr>
        <w:t>Ps</w:t>
      </w:r>
      <w:proofErr w:type="spellEnd"/>
      <w:r w:rsidR="001B6D14" w:rsidRPr="007604D8">
        <w:rPr>
          <w:rFonts w:ascii="Arial" w:hAnsi="Arial" w:cs="Arial"/>
          <w:w w:val="0"/>
          <w:lang w:val="es-AR"/>
        </w:rPr>
        <w:t xml:space="preserve"> </w:t>
      </w:r>
      <w:r w:rsidR="00554192">
        <w:rPr>
          <w:rFonts w:ascii="Arial" w:hAnsi="Arial" w:cs="Arial"/>
          <w:w w:val="0"/>
          <w:lang w:val="es-AR"/>
        </w:rPr>
        <w:t>6,6</w:t>
      </w:r>
      <w:r w:rsidR="003670EF">
        <w:rPr>
          <w:rFonts w:ascii="Arial" w:hAnsi="Arial" w:cs="Arial"/>
          <w:w w:val="0"/>
          <w:lang w:val="es-AR"/>
        </w:rPr>
        <w:t xml:space="preserve"> </w:t>
      </w:r>
      <w:r w:rsidR="001B6D14" w:rsidRPr="007604D8">
        <w:rPr>
          <w:rFonts w:ascii="Arial" w:hAnsi="Arial" w:cs="Arial"/>
          <w:w w:val="0"/>
          <w:lang w:val="es-AR"/>
        </w:rPr>
        <w:t>MM</w:t>
      </w:r>
      <w:r w:rsidRPr="007604D8">
        <w:rPr>
          <w:rFonts w:ascii="Arial" w:hAnsi="Arial" w:cs="Arial"/>
          <w:w w:val="0"/>
          <w:lang w:val="es-AR"/>
        </w:rPr>
        <w:t xml:space="preserve">, en comparación con la disminución neta de fondos de </w:t>
      </w:r>
      <w:proofErr w:type="spellStart"/>
      <w:r w:rsidR="001B6D14" w:rsidRPr="007604D8">
        <w:rPr>
          <w:rFonts w:ascii="Arial" w:hAnsi="Arial" w:cs="Arial"/>
          <w:w w:val="0"/>
          <w:lang w:val="es-AR"/>
        </w:rPr>
        <w:t>Ps</w:t>
      </w:r>
      <w:proofErr w:type="spellEnd"/>
      <w:r w:rsidR="001B6D14" w:rsidRPr="007604D8">
        <w:rPr>
          <w:rFonts w:ascii="Arial" w:hAnsi="Arial" w:cs="Arial"/>
          <w:w w:val="0"/>
          <w:lang w:val="es-AR"/>
        </w:rPr>
        <w:t xml:space="preserve"> </w:t>
      </w:r>
      <w:r w:rsidR="003670EF">
        <w:rPr>
          <w:rFonts w:ascii="Arial" w:hAnsi="Arial" w:cs="Arial"/>
          <w:w w:val="0"/>
          <w:lang w:val="es-AR"/>
        </w:rPr>
        <w:t>2,7</w:t>
      </w:r>
      <w:r w:rsidR="00457102" w:rsidRPr="007604D8">
        <w:rPr>
          <w:rFonts w:ascii="Arial" w:hAnsi="Arial" w:cs="Arial"/>
          <w:w w:val="0"/>
          <w:lang w:val="es-AR"/>
        </w:rPr>
        <w:t xml:space="preserve"> </w:t>
      </w:r>
      <w:r w:rsidR="001B6D14" w:rsidRPr="007604D8">
        <w:rPr>
          <w:rFonts w:ascii="Arial" w:hAnsi="Arial" w:cs="Arial"/>
          <w:w w:val="0"/>
          <w:lang w:val="es-AR"/>
        </w:rPr>
        <w:t xml:space="preserve">MM </w:t>
      </w:r>
      <w:r w:rsidRPr="007604D8">
        <w:rPr>
          <w:rFonts w:ascii="Arial" w:hAnsi="Arial" w:cs="Arial"/>
          <w:w w:val="0"/>
          <w:lang w:val="es-AR"/>
        </w:rPr>
        <w:t xml:space="preserve">ocurrida en </w:t>
      </w:r>
      <w:r w:rsidR="00695776" w:rsidRPr="007604D8">
        <w:rPr>
          <w:rFonts w:ascii="Arial" w:hAnsi="Arial" w:cs="Arial"/>
          <w:w w:val="0"/>
          <w:lang w:val="es-AR"/>
        </w:rPr>
        <w:t>el mismo periodo de 2018</w:t>
      </w:r>
      <w:r w:rsidRPr="007604D8">
        <w:rPr>
          <w:rFonts w:ascii="Arial" w:hAnsi="Arial" w:cs="Arial"/>
          <w:w w:val="0"/>
          <w:lang w:val="es-AR"/>
        </w:rPr>
        <w:t xml:space="preserve">. Esta diferencia fue generada </w:t>
      </w:r>
      <w:r w:rsidR="00D03A93">
        <w:rPr>
          <w:rFonts w:ascii="Arial" w:hAnsi="Arial" w:cs="Arial"/>
          <w:w w:val="0"/>
          <w:lang w:val="es-AR"/>
        </w:rPr>
        <w:t xml:space="preserve">principalmente </w:t>
      </w:r>
      <w:r w:rsidRPr="007604D8">
        <w:rPr>
          <w:rFonts w:ascii="Arial" w:hAnsi="Arial" w:cs="Arial"/>
          <w:w w:val="0"/>
          <w:lang w:val="es-AR"/>
        </w:rPr>
        <w:t xml:space="preserve">por una </w:t>
      </w:r>
      <w:r w:rsidR="00204832">
        <w:rPr>
          <w:rFonts w:ascii="Arial" w:hAnsi="Arial" w:cs="Arial"/>
          <w:w w:val="0"/>
          <w:lang w:val="es-AR"/>
        </w:rPr>
        <w:t xml:space="preserve">mayor </w:t>
      </w:r>
      <w:r w:rsidR="00050089" w:rsidRPr="00050089">
        <w:rPr>
          <w:rFonts w:ascii="Arial" w:hAnsi="Arial" w:cs="Arial"/>
          <w:lang w:val="es-AR"/>
        </w:rPr>
        <w:t>toma de deuda neta de pagos de capital</w:t>
      </w:r>
      <w:r w:rsidR="00050089" w:rsidRPr="00050089">
        <w:rPr>
          <w:rFonts w:ascii="Arial" w:hAnsi="Arial" w:cs="Arial"/>
          <w:w w:val="0"/>
          <w:lang w:val="es-AR"/>
        </w:rPr>
        <w:t xml:space="preserve"> </w:t>
      </w:r>
      <w:r w:rsidRPr="00050089">
        <w:rPr>
          <w:rFonts w:ascii="Arial" w:hAnsi="Arial" w:cs="Arial"/>
          <w:w w:val="0"/>
          <w:lang w:val="es-AR"/>
        </w:rPr>
        <w:t>por</w:t>
      </w:r>
      <w:r w:rsidRPr="007604D8">
        <w:rPr>
          <w:rFonts w:ascii="Arial" w:hAnsi="Arial" w:cs="Arial"/>
          <w:w w:val="0"/>
          <w:lang w:val="es-AR"/>
        </w:rPr>
        <w:t xml:space="preserve"> </w:t>
      </w:r>
      <w:proofErr w:type="spellStart"/>
      <w:r w:rsidR="001B6D14" w:rsidRPr="007604D8">
        <w:rPr>
          <w:rFonts w:ascii="Arial" w:hAnsi="Arial" w:cs="Arial"/>
          <w:w w:val="0"/>
          <w:lang w:val="es-AR"/>
        </w:rPr>
        <w:t>Ps</w:t>
      </w:r>
      <w:proofErr w:type="spellEnd"/>
      <w:r w:rsidR="001B6D14" w:rsidRPr="007604D8">
        <w:rPr>
          <w:rFonts w:ascii="Arial" w:hAnsi="Arial" w:cs="Arial"/>
          <w:w w:val="0"/>
          <w:lang w:val="es-AR"/>
        </w:rPr>
        <w:t xml:space="preserve"> </w:t>
      </w:r>
      <w:r w:rsidR="00554192">
        <w:rPr>
          <w:rFonts w:ascii="Arial" w:hAnsi="Arial" w:cs="Arial"/>
          <w:w w:val="0"/>
          <w:lang w:val="es-AR"/>
        </w:rPr>
        <w:t>16,0</w:t>
      </w:r>
      <w:r w:rsidR="001B6D14" w:rsidRPr="007604D8">
        <w:rPr>
          <w:rFonts w:ascii="Arial" w:hAnsi="Arial" w:cs="Arial"/>
          <w:w w:val="0"/>
          <w:lang w:val="es-AR"/>
        </w:rPr>
        <w:t xml:space="preserve"> MM</w:t>
      </w:r>
      <w:r w:rsidR="00DF59ED" w:rsidRPr="007604D8">
        <w:rPr>
          <w:rFonts w:ascii="Arial" w:hAnsi="Arial" w:cs="Arial"/>
          <w:w w:val="0"/>
          <w:lang w:val="es-AR"/>
        </w:rPr>
        <w:t xml:space="preserve">, </w:t>
      </w:r>
      <w:r w:rsidRPr="007604D8">
        <w:rPr>
          <w:rFonts w:ascii="Arial" w:hAnsi="Arial" w:cs="Arial"/>
          <w:w w:val="0"/>
          <w:lang w:val="es-AR"/>
        </w:rPr>
        <w:t xml:space="preserve">por un mayor pago de intereses por </w:t>
      </w:r>
      <w:proofErr w:type="spellStart"/>
      <w:r w:rsidR="001B6D14" w:rsidRPr="007604D8">
        <w:rPr>
          <w:rFonts w:ascii="Arial" w:hAnsi="Arial" w:cs="Arial"/>
          <w:w w:val="0"/>
          <w:lang w:val="es-AR"/>
        </w:rPr>
        <w:t>Ps</w:t>
      </w:r>
      <w:proofErr w:type="spellEnd"/>
      <w:r w:rsidR="001B6D14" w:rsidRPr="007604D8">
        <w:rPr>
          <w:rFonts w:ascii="Arial" w:hAnsi="Arial" w:cs="Arial"/>
          <w:w w:val="0"/>
          <w:lang w:val="es-AR"/>
        </w:rPr>
        <w:t xml:space="preserve"> </w:t>
      </w:r>
      <w:r w:rsidR="003670EF">
        <w:rPr>
          <w:rFonts w:ascii="Arial" w:hAnsi="Arial" w:cs="Arial"/>
          <w:w w:val="0"/>
          <w:lang w:val="es-AR"/>
        </w:rPr>
        <w:t>3,4</w:t>
      </w:r>
      <w:r w:rsidR="001B6D14" w:rsidRPr="007604D8">
        <w:rPr>
          <w:rFonts w:ascii="Arial" w:hAnsi="Arial" w:cs="Arial"/>
          <w:w w:val="0"/>
          <w:lang w:val="es-AR"/>
        </w:rPr>
        <w:t xml:space="preserve"> MM</w:t>
      </w:r>
      <w:r w:rsidR="00DF59ED" w:rsidRPr="007604D8">
        <w:rPr>
          <w:rFonts w:ascii="Arial" w:hAnsi="Arial" w:cs="Arial"/>
          <w:w w:val="0"/>
          <w:lang w:val="es-AR"/>
        </w:rPr>
        <w:t xml:space="preserve"> y el pa</w:t>
      </w:r>
      <w:r w:rsidR="003670EF">
        <w:rPr>
          <w:rFonts w:ascii="Arial" w:hAnsi="Arial" w:cs="Arial"/>
          <w:w w:val="0"/>
          <w:lang w:val="es-AR"/>
        </w:rPr>
        <w:t xml:space="preserve">go por arrendamientos por </w:t>
      </w:r>
      <w:proofErr w:type="spellStart"/>
      <w:r w:rsidR="003670EF">
        <w:rPr>
          <w:rFonts w:ascii="Arial" w:hAnsi="Arial" w:cs="Arial"/>
          <w:w w:val="0"/>
          <w:lang w:val="es-AR"/>
        </w:rPr>
        <w:t>Ps</w:t>
      </w:r>
      <w:proofErr w:type="spellEnd"/>
      <w:r w:rsidR="003670EF">
        <w:rPr>
          <w:rFonts w:ascii="Arial" w:hAnsi="Arial" w:cs="Arial"/>
          <w:w w:val="0"/>
          <w:lang w:val="es-AR"/>
        </w:rPr>
        <w:t xml:space="preserve"> 3,0</w:t>
      </w:r>
      <w:r w:rsidR="00DF59ED" w:rsidRPr="007604D8">
        <w:rPr>
          <w:rFonts w:ascii="Arial" w:hAnsi="Arial" w:cs="Arial"/>
          <w:w w:val="0"/>
          <w:lang w:val="es-AR"/>
        </w:rPr>
        <w:t xml:space="preserve"> MM.</w:t>
      </w:r>
    </w:p>
    <w:p w14:paraId="046C1EDE" w14:textId="5C78D01A" w:rsidR="00633F28" w:rsidRPr="003670EF" w:rsidRDefault="00633F28" w:rsidP="0058416B">
      <w:pPr>
        <w:spacing w:line="288" w:lineRule="auto"/>
        <w:jc w:val="both"/>
        <w:rPr>
          <w:rFonts w:ascii="Arial" w:hAnsi="Arial" w:cs="Arial"/>
          <w:w w:val="0"/>
          <w:lang w:val="es-AR"/>
        </w:rPr>
      </w:pPr>
      <w:r w:rsidRPr="003670EF">
        <w:rPr>
          <w:rFonts w:ascii="Arial" w:hAnsi="Arial" w:cs="Arial"/>
          <w:w w:val="0"/>
          <w:lang w:val="es-AR"/>
        </w:rPr>
        <w:t xml:space="preserve">La generación de recursos previamente explicada, sumada a la tenencia en bonos soberanos y aquellos recibidos oportunamente por los cobros adeudados del Plan Gas del año 2015, que aún se conservan en cartera, deviene en una posición de efectivo y equivalentes de </w:t>
      </w:r>
      <w:proofErr w:type="spellStart"/>
      <w:r w:rsidRPr="003670EF">
        <w:rPr>
          <w:rFonts w:ascii="Arial" w:hAnsi="Arial" w:cs="Arial"/>
          <w:w w:val="0"/>
          <w:lang w:val="es-AR"/>
        </w:rPr>
        <w:t>Ps</w:t>
      </w:r>
      <w:proofErr w:type="spellEnd"/>
      <w:r w:rsidRPr="003670EF">
        <w:rPr>
          <w:rFonts w:ascii="Arial" w:hAnsi="Arial" w:cs="Arial"/>
          <w:w w:val="0"/>
          <w:lang w:val="es-AR"/>
        </w:rPr>
        <w:t xml:space="preserve"> </w:t>
      </w:r>
      <w:r w:rsidR="003670EF">
        <w:rPr>
          <w:rFonts w:ascii="Arial" w:hAnsi="Arial" w:cs="Arial"/>
          <w:w w:val="0"/>
          <w:lang w:val="es-AR"/>
        </w:rPr>
        <w:t>67</w:t>
      </w:r>
      <w:r w:rsidR="00FF6056" w:rsidRPr="003670EF">
        <w:rPr>
          <w:rFonts w:ascii="Arial" w:hAnsi="Arial" w:cs="Arial"/>
          <w:w w:val="0"/>
          <w:lang w:val="es-AR"/>
        </w:rPr>
        <w:t>,2</w:t>
      </w:r>
      <w:r w:rsidRPr="003670EF">
        <w:rPr>
          <w:rFonts w:ascii="Arial" w:hAnsi="Arial" w:cs="Arial"/>
          <w:w w:val="0"/>
          <w:lang w:val="es-AR"/>
        </w:rPr>
        <w:t xml:space="preserve"> </w:t>
      </w:r>
      <w:proofErr w:type="gramStart"/>
      <w:r w:rsidRPr="003670EF">
        <w:rPr>
          <w:rFonts w:ascii="Arial" w:hAnsi="Arial" w:cs="Arial"/>
          <w:w w:val="0"/>
          <w:lang w:val="es-AR"/>
        </w:rPr>
        <w:t>MM</w:t>
      </w:r>
      <w:r w:rsidRPr="003670EF">
        <w:rPr>
          <w:rFonts w:ascii="Arial" w:hAnsi="Arial" w:cs="Arial"/>
          <w:w w:val="0"/>
          <w:sz w:val="16"/>
          <w:lang w:val="es-AR"/>
        </w:rPr>
        <w:t>(</w:t>
      </w:r>
      <w:proofErr w:type="gramEnd"/>
      <w:r w:rsidRPr="003670EF">
        <w:rPr>
          <w:rFonts w:ascii="Arial" w:hAnsi="Arial" w:cs="Arial"/>
          <w:w w:val="0"/>
          <w:sz w:val="16"/>
          <w:lang w:val="es-AR"/>
        </w:rPr>
        <w:t xml:space="preserve">1) </w:t>
      </w:r>
      <w:r w:rsidRPr="003670EF">
        <w:rPr>
          <w:rFonts w:ascii="Arial" w:hAnsi="Arial" w:cs="Arial"/>
          <w:w w:val="0"/>
          <w:lang w:val="es-AR"/>
        </w:rPr>
        <w:t xml:space="preserve">al </w:t>
      </w:r>
      <w:r w:rsidR="00BC18E4" w:rsidRPr="003670EF">
        <w:rPr>
          <w:rFonts w:ascii="Arial" w:hAnsi="Arial" w:cs="Arial"/>
          <w:w w:val="0"/>
          <w:lang w:val="es-AR"/>
        </w:rPr>
        <w:t xml:space="preserve">30 de junio </w:t>
      </w:r>
      <w:r w:rsidRPr="003670EF">
        <w:rPr>
          <w:rFonts w:ascii="Arial" w:hAnsi="Arial" w:cs="Arial"/>
          <w:w w:val="0"/>
          <w:lang w:val="es-AR"/>
        </w:rPr>
        <w:t>de 201</w:t>
      </w:r>
      <w:r w:rsidR="00695776" w:rsidRPr="003670EF">
        <w:rPr>
          <w:rFonts w:ascii="Arial" w:hAnsi="Arial" w:cs="Arial"/>
          <w:w w:val="0"/>
          <w:lang w:val="es-AR"/>
        </w:rPr>
        <w:t>9.</w:t>
      </w:r>
      <w:r w:rsidRPr="003670EF">
        <w:rPr>
          <w:rFonts w:ascii="Arial" w:hAnsi="Arial" w:cs="Arial"/>
          <w:w w:val="0"/>
          <w:lang w:val="es-AR"/>
        </w:rPr>
        <w:t xml:space="preserve"> </w:t>
      </w:r>
    </w:p>
    <w:p w14:paraId="3B2ED6F4" w14:textId="1D3AA7A2" w:rsidR="00667C77" w:rsidRPr="003670EF" w:rsidRDefault="00667C77" w:rsidP="0058416B">
      <w:pPr>
        <w:spacing w:line="288" w:lineRule="auto"/>
        <w:jc w:val="both"/>
        <w:rPr>
          <w:rFonts w:ascii="Arial" w:hAnsi="Arial" w:cs="Arial"/>
          <w:w w:val="0"/>
          <w:lang w:val="es-AR"/>
        </w:rPr>
      </w:pPr>
      <w:r w:rsidRPr="003670EF">
        <w:rPr>
          <w:rFonts w:ascii="Arial" w:hAnsi="Arial" w:cs="Arial"/>
          <w:w w:val="0"/>
          <w:lang w:val="es-AR"/>
        </w:rPr>
        <w:t>De este modo, la deuda total expresa</w:t>
      </w:r>
      <w:r w:rsidR="00D75039" w:rsidRPr="003670EF">
        <w:rPr>
          <w:rFonts w:ascii="Arial" w:hAnsi="Arial" w:cs="Arial"/>
          <w:w w:val="0"/>
          <w:lang w:val="es-AR"/>
        </w:rPr>
        <w:t xml:space="preserve">da en dólares alcanzó los USD </w:t>
      </w:r>
      <w:r w:rsidR="00554192">
        <w:rPr>
          <w:rFonts w:ascii="Arial" w:hAnsi="Arial" w:cs="Arial"/>
          <w:w w:val="0"/>
          <w:lang w:val="es-AR"/>
        </w:rPr>
        <w:t>9,4</w:t>
      </w:r>
      <w:r w:rsidRPr="003670EF">
        <w:rPr>
          <w:rFonts w:ascii="Arial" w:hAnsi="Arial" w:cs="Arial"/>
          <w:w w:val="0"/>
          <w:lang w:val="es-AR"/>
        </w:rPr>
        <w:t xml:space="preserve"> MM, y la deuda neta los USD </w:t>
      </w:r>
      <w:r w:rsidR="003670EF" w:rsidRPr="003670EF">
        <w:rPr>
          <w:rFonts w:ascii="Arial" w:hAnsi="Arial" w:cs="Arial"/>
          <w:w w:val="0"/>
          <w:lang w:val="es-AR"/>
        </w:rPr>
        <w:t>7,8</w:t>
      </w:r>
      <w:r w:rsidRPr="003670EF">
        <w:rPr>
          <w:rFonts w:ascii="Arial" w:hAnsi="Arial" w:cs="Arial"/>
          <w:w w:val="0"/>
          <w:lang w:val="es-AR"/>
        </w:rPr>
        <w:t xml:space="preserve"> </w:t>
      </w:r>
      <w:proofErr w:type="gramStart"/>
      <w:r w:rsidRPr="003670EF">
        <w:rPr>
          <w:rFonts w:ascii="Arial" w:hAnsi="Arial" w:cs="Arial"/>
          <w:w w:val="0"/>
          <w:lang w:val="es-AR"/>
        </w:rPr>
        <w:t>MM</w:t>
      </w:r>
      <w:r w:rsidRPr="003670EF">
        <w:rPr>
          <w:rFonts w:ascii="Arial" w:hAnsi="Arial" w:cs="Arial"/>
          <w:w w:val="0"/>
          <w:sz w:val="16"/>
          <w:lang w:val="es-AR"/>
        </w:rPr>
        <w:t>(</w:t>
      </w:r>
      <w:proofErr w:type="gramEnd"/>
      <w:r w:rsidR="00D03A93">
        <w:rPr>
          <w:rFonts w:ascii="Arial" w:hAnsi="Arial" w:cs="Arial"/>
          <w:w w:val="0"/>
          <w:sz w:val="14"/>
          <w:lang w:val="es-AR"/>
        </w:rPr>
        <w:t>2</w:t>
      </w:r>
      <w:r w:rsidRPr="003670EF">
        <w:rPr>
          <w:rFonts w:ascii="Arial" w:hAnsi="Arial" w:cs="Arial"/>
          <w:w w:val="0"/>
          <w:sz w:val="14"/>
          <w:lang w:val="es-AR"/>
        </w:rPr>
        <w:t>)</w:t>
      </w:r>
      <w:r w:rsidRPr="003670EF">
        <w:rPr>
          <w:rFonts w:ascii="Arial" w:hAnsi="Arial" w:cs="Arial"/>
          <w:w w:val="0"/>
          <w:lang w:val="es-AR"/>
        </w:rPr>
        <w:t>, con una ratio Deuda neta/EBITDA</w:t>
      </w:r>
      <w:r w:rsidR="00157C64" w:rsidRPr="003670EF">
        <w:rPr>
          <w:rFonts w:ascii="Arial" w:hAnsi="Arial" w:cs="Arial"/>
          <w:w w:val="0"/>
          <w:lang w:val="es-AR"/>
        </w:rPr>
        <w:t xml:space="preserve"> </w:t>
      </w:r>
      <w:r w:rsidR="003670EF" w:rsidRPr="003670EF">
        <w:rPr>
          <w:rFonts w:ascii="Arial" w:hAnsi="Arial" w:cs="Arial"/>
          <w:w w:val="0"/>
          <w:lang w:val="es-AR"/>
        </w:rPr>
        <w:t>Ajustado</w:t>
      </w:r>
      <w:r w:rsidR="003670EF" w:rsidRPr="003670EF">
        <w:rPr>
          <w:rFonts w:ascii="Arial" w:hAnsi="Arial" w:cs="Arial"/>
          <w:w w:val="0"/>
          <w:sz w:val="16"/>
          <w:lang w:val="es-AR"/>
        </w:rPr>
        <w:t>(</w:t>
      </w:r>
      <w:r w:rsidRPr="003670EF">
        <w:rPr>
          <w:rFonts w:ascii="Arial" w:hAnsi="Arial" w:cs="Arial"/>
          <w:w w:val="0"/>
          <w:sz w:val="16"/>
          <w:lang w:val="es-AR"/>
        </w:rPr>
        <w:t>2)</w:t>
      </w:r>
      <w:r w:rsidRPr="003670EF">
        <w:rPr>
          <w:rFonts w:ascii="Arial" w:hAnsi="Arial" w:cs="Arial"/>
          <w:w w:val="0"/>
          <w:sz w:val="18"/>
          <w:lang w:val="es-AR"/>
        </w:rPr>
        <w:t xml:space="preserve"> </w:t>
      </w:r>
      <w:r w:rsidRPr="003670EF">
        <w:rPr>
          <w:rFonts w:ascii="Arial" w:hAnsi="Arial" w:cs="Arial"/>
          <w:w w:val="0"/>
          <w:lang w:val="es-AR"/>
        </w:rPr>
        <w:t xml:space="preserve">de </w:t>
      </w:r>
      <w:r w:rsidR="00D75039" w:rsidRPr="003670EF">
        <w:rPr>
          <w:rFonts w:ascii="Arial" w:hAnsi="Arial" w:cs="Arial"/>
          <w:w w:val="0"/>
          <w:lang w:val="es-AR"/>
        </w:rPr>
        <w:t>1,</w:t>
      </w:r>
      <w:r w:rsidR="003670EF" w:rsidRPr="003670EF">
        <w:rPr>
          <w:rFonts w:ascii="Arial" w:hAnsi="Arial" w:cs="Arial"/>
          <w:w w:val="0"/>
          <w:lang w:val="es-AR"/>
        </w:rPr>
        <w:t>90</w:t>
      </w:r>
      <w:r w:rsidR="00DF59ED" w:rsidRPr="003670EF">
        <w:rPr>
          <w:rFonts w:ascii="Arial" w:hAnsi="Arial" w:cs="Arial"/>
          <w:w w:val="0"/>
          <w:lang w:val="es-AR"/>
        </w:rPr>
        <w:t>x</w:t>
      </w:r>
      <w:r w:rsidRPr="003670EF">
        <w:rPr>
          <w:rFonts w:ascii="Arial" w:hAnsi="Arial" w:cs="Arial"/>
          <w:w w:val="0"/>
          <w:lang w:val="es-AR"/>
        </w:rPr>
        <w:t xml:space="preserve">. </w:t>
      </w:r>
    </w:p>
    <w:p w14:paraId="0EF917A0" w14:textId="5997096E" w:rsidR="00667C77" w:rsidRPr="00D074F7" w:rsidRDefault="00667C77" w:rsidP="006471C0">
      <w:pPr>
        <w:spacing w:after="120" w:line="288" w:lineRule="auto"/>
        <w:jc w:val="both"/>
        <w:rPr>
          <w:rFonts w:ascii="Arial" w:hAnsi="Arial" w:cs="Arial"/>
          <w:w w:val="0"/>
          <w:lang w:val="es-AR"/>
        </w:rPr>
      </w:pPr>
      <w:r w:rsidRPr="00D074F7">
        <w:rPr>
          <w:rFonts w:ascii="Arial" w:hAnsi="Arial" w:cs="Arial"/>
          <w:w w:val="0"/>
          <w:lang w:val="es-AR"/>
        </w:rPr>
        <w:t xml:space="preserve">El costo promedio de la deuda nominada en pesos al cierre del </w:t>
      </w:r>
      <w:r w:rsidR="00BC18E4" w:rsidRPr="00D074F7">
        <w:rPr>
          <w:rFonts w:ascii="Arial" w:hAnsi="Arial" w:cs="Arial"/>
          <w:w w:val="0"/>
          <w:lang w:val="es-AR"/>
        </w:rPr>
        <w:t xml:space="preserve">segundo </w:t>
      </w:r>
      <w:r w:rsidR="00695776" w:rsidRPr="00D074F7">
        <w:rPr>
          <w:rFonts w:ascii="Arial" w:hAnsi="Arial" w:cs="Arial"/>
          <w:w w:val="0"/>
          <w:lang w:val="es-AR"/>
        </w:rPr>
        <w:t xml:space="preserve">trimestre de 2019 </w:t>
      </w:r>
      <w:r w:rsidRPr="00D074F7">
        <w:rPr>
          <w:rFonts w:ascii="Arial" w:hAnsi="Arial" w:cs="Arial"/>
          <w:w w:val="0"/>
          <w:lang w:val="es-AR"/>
        </w:rPr>
        <w:t xml:space="preserve">fue de </w:t>
      </w:r>
      <w:r w:rsidR="00D05273" w:rsidRPr="00D074F7">
        <w:rPr>
          <w:rFonts w:ascii="Arial" w:hAnsi="Arial" w:cs="Arial"/>
          <w:w w:val="0"/>
          <w:lang w:val="es-AR"/>
        </w:rPr>
        <w:t>44,76</w:t>
      </w:r>
      <w:r w:rsidRPr="00D074F7">
        <w:rPr>
          <w:rFonts w:ascii="Arial" w:hAnsi="Arial" w:cs="Arial"/>
          <w:w w:val="0"/>
          <w:lang w:val="es-AR"/>
        </w:rPr>
        <w:t xml:space="preserve">%, mientras que el costo promedio de la deuda nominada en dólares </w:t>
      </w:r>
      <w:r w:rsidR="00695776" w:rsidRPr="00D074F7">
        <w:rPr>
          <w:rFonts w:ascii="Arial" w:hAnsi="Arial" w:cs="Arial"/>
          <w:w w:val="0"/>
          <w:lang w:val="es-AR"/>
        </w:rPr>
        <w:t xml:space="preserve">fue de </w:t>
      </w:r>
      <w:r w:rsidRPr="00D074F7">
        <w:rPr>
          <w:rFonts w:ascii="Arial" w:hAnsi="Arial" w:cs="Arial"/>
          <w:w w:val="0"/>
          <w:lang w:val="es-AR"/>
        </w:rPr>
        <w:t>7,</w:t>
      </w:r>
      <w:r w:rsidR="00D05273" w:rsidRPr="00D074F7">
        <w:rPr>
          <w:rFonts w:ascii="Arial" w:hAnsi="Arial" w:cs="Arial"/>
          <w:w w:val="0"/>
          <w:lang w:val="es-AR"/>
        </w:rPr>
        <w:t>54</w:t>
      </w:r>
      <w:r w:rsidRPr="00D074F7">
        <w:rPr>
          <w:rFonts w:ascii="Arial" w:hAnsi="Arial" w:cs="Arial"/>
          <w:w w:val="0"/>
          <w:lang w:val="es-AR"/>
        </w:rPr>
        <w:t>%.</w:t>
      </w:r>
    </w:p>
    <w:p w14:paraId="43645153" w14:textId="6E13F703" w:rsidR="00BC18E4" w:rsidRDefault="00BC18E4" w:rsidP="00BC18E4">
      <w:pPr>
        <w:spacing w:after="120" w:line="288" w:lineRule="auto"/>
        <w:jc w:val="both"/>
        <w:rPr>
          <w:rFonts w:ascii="Arial" w:hAnsi="Arial" w:cs="Arial"/>
          <w:w w:val="0"/>
          <w:lang w:val="es-AR"/>
        </w:rPr>
      </w:pPr>
      <w:r w:rsidRPr="000B3A3C">
        <w:rPr>
          <w:rFonts w:ascii="Arial" w:hAnsi="Arial" w:cs="Arial"/>
          <w:w w:val="0"/>
          <w:lang w:val="es-AR"/>
        </w:rPr>
        <w:t>A continuación, se detallan las emisiones de Obligaciones Negociables de YPF realizadas durante el segundo trimestre de 2019:</w:t>
      </w:r>
    </w:p>
    <w:p w14:paraId="7A759EB3" w14:textId="77777777" w:rsidR="00BC18E4" w:rsidRDefault="00BC18E4" w:rsidP="00BC18E4">
      <w:pPr>
        <w:spacing w:after="120" w:line="288" w:lineRule="auto"/>
        <w:jc w:val="both"/>
        <w:rPr>
          <w:rFonts w:ascii="Arial" w:hAnsi="Arial" w:cs="Arial"/>
          <w:w w:val="0"/>
          <w:lang w:val="es-AR"/>
        </w:rPr>
      </w:pPr>
    </w:p>
    <w:p w14:paraId="0B38CA45" w14:textId="7B8CA9DC" w:rsidR="00BC18E4" w:rsidRDefault="005F33E5" w:rsidP="00BC18E4">
      <w:pPr>
        <w:spacing w:after="120" w:line="288" w:lineRule="auto"/>
        <w:ind w:left="1701"/>
        <w:jc w:val="both"/>
        <w:rPr>
          <w:rFonts w:ascii="Arial" w:hAnsi="Arial" w:cs="Arial"/>
          <w:w w:val="0"/>
          <w:lang w:val="es-AR"/>
        </w:rPr>
      </w:pPr>
      <w:r w:rsidRPr="005F33E5">
        <w:rPr>
          <w:noProof/>
        </w:rPr>
        <w:drawing>
          <wp:inline distT="0" distB="0" distL="0" distR="0" wp14:anchorId="3E909DAB" wp14:editId="53A85333">
            <wp:extent cx="3152775" cy="4000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52775" cy="400050"/>
                    </a:xfrm>
                    <a:prstGeom prst="rect">
                      <a:avLst/>
                    </a:prstGeom>
                    <a:noFill/>
                    <a:ln>
                      <a:noFill/>
                    </a:ln>
                  </pic:spPr>
                </pic:pic>
              </a:graphicData>
            </a:graphic>
          </wp:inline>
        </w:drawing>
      </w:r>
    </w:p>
    <w:p w14:paraId="0F531FD7" w14:textId="77777777" w:rsidR="00472CBE" w:rsidRDefault="00472CBE" w:rsidP="00472CBE">
      <w:pPr>
        <w:spacing w:after="0" w:line="240" w:lineRule="auto"/>
        <w:rPr>
          <w:rFonts w:ascii="Arial" w:hAnsi="Arial" w:cs="Arial"/>
          <w:b/>
          <w:sz w:val="24"/>
          <w:lang w:val="es-AR"/>
        </w:rPr>
      </w:pPr>
    </w:p>
    <w:p w14:paraId="7C7D9276" w14:textId="77777777" w:rsidR="007D3BF4" w:rsidRDefault="00E829B9" w:rsidP="00E829B9">
      <w:pPr>
        <w:pStyle w:val="ListParagraph"/>
        <w:numPr>
          <w:ilvl w:val="0"/>
          <w:numId w:val="13"/>
        </w:numPr>
        <w:spacing w:after="0" w:line="240" w:lineRule="auto"/>
        <w:rPr>
          <w:rFonts w:ascii="Arial" w:hAnsi="Arial" w:cs="Arial"/>
          <w:sz w:val="16"/>
          <w:lang w:val="es-AR"/>
        </w:rPr>
      </w:pPr>
      <w:r w:rsidRPr="003670EF">
        <w:rPr>
          <w:rFonts w:ascii="Arial" w:hAnsi="Arial" w:cs="Arial"/>
          <w:sz w:val="16"/>
          <w:lang w:val="es-AR"/>
        </w:rPr>
        <w:t>Incluye inversiones en</w:t>
      </w:r>
      <w:r w:rsidR="00296AEB" w:rsidRPr="003670EF">
        <w:rPr>
          <w:rFonts w:ascii="Arial" w:hAnsi="Arial" w:cs="Arial"/>
          <w:sz w:val="16"/>
          <w:lang w:val="es-AR"/>
        </w:rPr>
        <w:t xml:space="preserve"> activos financieros</w:t>
      </w:r>
      <w:r w:rsidRPr="003670EF">
        <w:rPr>
          <w:rFonts w:ascii="Arial" w:hAnsi="Arial" w:cs="Arial"/>
          <w:sz w:val="16"/>
          <w:lang w:val="es-AR"/>
        </w:rPr>
        <w:t xml:space="preserve"> </w:t>
      </w:r>
      <w:r w:rsidR="00296AEB" w:rsidRPr="003670EF">
        <w:rPr>
          <w:rFonts w:ascii="Arial" w:hAnsi="Arial" w:cs="Arial"/>
          <w:sz w:val="16"/>
          <w:lang w:val="es-AR"/>
        </w:rPr>
        <w:t>(</w:t>
      </w:r>
      <w:r w:rsidRPr="003670EF">
        <w:rPr>
          <w:rFonts w:ascii="Arial" w:hAnsi="Arial" w:cs="Arial"/>
          <w:sz w:val="16"/>
          <w:lang w:val="es-AR"/>
        </w:rPr>
        <w:t>títulos públicos</w:t>
      </w:r>
      <w:r w:rsidR="00296AEB" w:rsidRPr="003670EF">
        <w:rPr>
          <w:rFonts w:ascii="Arial" w:hAnsi="Arial" w:cs="Arial"/>
          <w:sz w:val="16"/>
          <w:lang w:val="es-AR"/>
        </w:rPr>
        <w:t>)</w:t>
      </w:r>
      <w:r w:rsidRPr="003670EF">
        <w:rPr>
          <w:rFonts w:ascii="Arial" w:hAnsi="Arial" w:cs="Arial"/>
          <w:sz w:val="16"/>
          <w:lang w:val="es-AR"/>
        </w:rPr>
        <w:t xml:space="preserve"> por USD </w:t>
      </w:r>
      <w:r w:rsidR="003670EF" w:rsidRPr="003670EF">
        <w:rPr>
          <w:rFonts w:ascii="Arial" w:hAnsi="Arial" w:cs="Arial"/>
          <w:sz w:val="16"/>
          <w:lang w:val="es-AR"/>
        </w:rPr>
        <w:t>256</w:t>
      </w:r>
      <w:r w:rsidRPr="003670EF">
        <w:rPr>
          <w:rFonts w:ascii="Arial" w:hAnsi="Arial" w:cs="Arial"/>
          <w:sz w:val="16"/>
          <w:lang w:val="es-AR"/>
        </w:rPr>
        <w:t xml:space="preserve"> millones a valor de mercado</w:t>
      </w:r>
      <w:r w:rsidR="004F1DD4">
        <w:rPr>
          <w:rFonts w:ascii="Arial" w:hAnsi="Arial" w:cs="Arial"/>
          <w:sz w:val="16"/>
          <w:lang w:val="es-AR"/>
        </w:rPr>
        <w:t>.</w:t>
      </w:r>
    </w:p>
    <w:p w14:paraId="2CB09979" w14:textId="08B55895" w:rsidR="00E829B9" w:rsidRPr="007D3BF4" w:rsidRDefault="00E829B9" w:rsidP="007D3BF4">
      <w:pPr>
        <w:pStyle w:val="ListParagraph"/>
        <w:numPr>
          <w:ilvl w:val="0"/>
          <w:numId w:val="13"/>
        </w:numPr>
        <w:spacing w:after="0" w:line="240" w:lineRule="auto"/>
        <w:rPr>
          <w:rFonts w:ascii="Arial" w:hAnsi="Arial" w:cs="Arial"/>
          <w:sz w:val="16"/>
          <w:lang w:val="es-AR"/>
        </w:rPr>
      </w:pPr>
      <w:r w:rsidRPr="00364FA5">
        <w:rPr>
          <w:rFonts w:ascii="Arial" w:hAnsi="Arial" w:cs="Arial"/>
          <w:sz w:val="16"/>
          <w:lang w:val="es-AR"/>
        </w:rPr>
        <w:t xml:space="preserve">Deuda Neta: </w:t>
      </w:r>
      <w:r w:rsidR="00564A5D" w:rsidRPr="00364FA5">
        <w:rPr>
          <w:rFonts w:ascii="Arial" w:hAnsi="Arial" w:cs="Arial"/>
          <w:sz w:val="16"/>
          <w:lang w:val="es-AR"/>
        </w:rPr>
        <w:t>7.758</w:t>
      </w:r>
      <w:r w:rsidRPr="00364FA5">
        <w:rPr>
          <w:rFonts w:ascii="Arial" w:hAnsi="Arial" w:cs="Arial"/>
          <w:sz w:val="16"/>
          <w:lang w:val="es-AR"/>
        </w:rPr>
        <w:t xml:space="preserve"> MUSD / EBITDA</w:t>
      </w:r>
      <w:r w:rsidR="00157C64" w:rsidRPr="00364FA5">
        <w:rPr>
          <w:rFonts w:ascii="Arial" w:hAnsi="Arial" w:cs="Arial"/>
          <w:sz w:val="16"/>
          <w:lang w:val="es-AR"/>
        </w:rPr>
        <w:t xml:space="preserve"> Ajustado</w:t>
      </w:r>
      <w:r w:rsidRPr="00364FA5">
        <w:rPr>
          <w:rFonts w:ascii="Arial" w:hAnsi="Arial" w:cs="Arial"/>
          <w:sz w:val="16"/>
          <w:lang w:val="es-AR"/>
        </w:rPr>
        <w:t xml:space="preserve"> LTM: </w:t>
      </w:r>
      <w:r w:rsidR="003670EF" w:rsidRPr="00364FA5">
        <w:rPr>
          <w:rFonts w:ascii="Arial" w:hAnsi="Arial" w:cs="Arial"/>
          <w:sz w:val="16"/>
          <w:lang w:val="es-AR"/>
        </w:rPr>
        <w:t>4.077</w:t>
      </w:r>
      <w:r w:rsidR="005930B6" w:rsidRPr="00364FA5">
        <w:rPr>
          <w:rFonts w:ascii="Arial" w:hAnsi="Arial" w:cs="Arial"/>
          <w:sz w:val="16"/>
          <w:lang w:val="es-AR"/>
        </w:rPr>
        <w:t xml:space="preserve"> </w:t>
      </w:r>
      <w:r w:rsidRPr="00364FA5">
        <w:rPr>
          <w:rFonts w:ascii="Arial" w:hAnsi="Arial" w:cs="Arial"/>
          <w:sz w:val="16"/>
          <w:lang w:val="es-AR"/>
        </w:rPr>
        <w:t xml:space="preserve">MUSD = </w:t>
      </w:r>
      <w:r w:rsidR="00D75039" w:rsidRPr="00364FA5">
        <w:rPr>
          <w:rFonts w:ascii="Arial" w:hAnsi="Arial" w:cs="Arial"/>
          <w:sz w:val="16"/>
          <w:lang w:val="es-AR"/>
        </w:rPr>
        <w:t>1,</w:t>
      </w:r>
      <w:r w:rsidR="003670EF" w:rsidRPr="00364FA5">
        <w:rPr>
          <w:rFonts w:ascii="Arial" w:hAnsi="Arial" w:cs="Arial"/>
          <w:sz w:val="16"/>
          <w:lang w:val="es-AR"/>
        </w:rPr>
        <w:t>90</w:t>
      </w:r>
      <w:r w:rsidRPr="00364FA5">
        <w:rPr>
          <w:rFonts w:ascii="Arial" w:hAnsi="Arial" w:cs="Arial"/>
          <w:sz w:val="16"/>
          <w:lang w:val="es-AR"/>
        </w:rPr>
        <w:t>x</w:t>
      </w:r>
      <w:r w:rsidR="001B124F" w:rsidRPr="00364FA5">
        <w:rPr>
          <w:rFonts w:ascii="Arial" w:hAnsi="Arial" w:cs="Arial"/>
          <w:sz w:val="16"/>
          <w:lang w:val="es-AR"/>
        </w:rPr>
        <w:t>.</w:t>
      </w:r>
      <w:r w:rsidR="00D03A93" w:rsidRPr="00364FA5">
        <w:rPr>
          <w:rFonts w:ascii="Arial" w:hAnsi="Arial" w:cs="Arial"/>
          <w:sz w:val="16"/>
          <w:lang w:val="es-AR"/>
        </w:rPr>
        <w:t xml:space="preserve"> </w:t>
      </w:r>
      <w:r w:rsidR="007D3BF4" w:rsidRPr="00364FA5">
        <w:rPr>
          <w:rFonts w:ascii="Arial" w:hAnsi="Arial" w:cs="Arial"/>
          <w:sz w:val="16"/>
          <w:lang w:val="es-AR"/>
        </w:rPr>
        <w:t xml:space="preserve">La Deuda Neta se calcula como deuda total menos efectivo y equivalentes e instrumentos </w:t>
      </w:r>
      <w:r w:rsidR="00FF5FDB">
        <w:rPr>
          <w:rFonts w:ascii="Arial" w:hAnsi="Arial" w:cs="Arial"/>
          <w:sz w:val="16"/>
          <w:lang w:val="es-AR"/>
        </w:rPr>
        <w:t xml:space="preserve">financieros </w:t>
      </w:r>
      <w:r w:rsidR="007D3BF4" w:rsidRPr="00364FA5">
        <w:rPr>
          <w:rFonts w:ascii="Arial" w:hAnsi="Arial" w:cs="Arial"/>
          <w:sz w:val="16"/>
          <w:lang w:val="es-AR"/>
        </w:rPr>
        <w:t xml:space="preserve">derivados. </w:t>
      </w:r>
      <w:r w:rsidR="00D03A93" w:rsidRPr="00364FA5">
        <w:rPr>
          <w:rFonts w:ascii="Arial" w:hAnsi="Arial" w:cs="Arial"/>
          <w:sz w:val="16"/>
          <w:lang w:val="es-AR"/>
        </w:rPr>
        <w:t xml:space="preserve"> </w:t>
      </w:r>
    </w:p>
    <w:p w14:paraId="0DFC92E6" w14:textId="77777777" w:rsidR="0023481B" w:rsidRDefault="0023481B" w:rsidP="00791AF6">
      <w:pPr>
        <w:spacing w:after="0" w:line="240" w:lineRule="auto"/>
        <w:rPr>
          <w:rFonts w:ascii="Arial" w:hAnsi="Arial" w:cs="Arial"/>
          <w:b/>
          <w:sz w:val="24"/>
          <w:lang w:val="es-AR"/>
        </w:rPr>
      </w:pPr>
    </w:p>
    <w:p w14:paraId="2D9C472A" w14:textId="77777777" w:rsidR="006B4A84" w:rsidRPr="00E758DB" w:rsidRDefault="006B4A84" w:rsidP="006B4A84">
      <w:pPr>
        <w:rPr>
          <w:color w:val="1F497D"/>
          <w:lang w:val="es-AR"/>
        </w:rPr>
      </w:pPr>
    </w:p>
    <w:p w14:paraId="5F62E648" w14:textId="77777777" w:rsidR="009A45A6" w:rsidRPr="009A45A6" w:rsidRDefault="009A45A6" w:rsidP="009A45A6">
      <w:pPr>
        <w:rPr>
          <w:color w:val="1F497D"/>
          <w:lang w:val="es-AR"/>
        </w:rPr>
      </w:pPr>
    </w:p>
    <w:p w14:paraId="702931B1" w14:textId="77777777" w:rsidR="0023481B" w:rsidRDefault="0023481B" w:rsidP="00791AF6">
      <w:pPr>
        <w:spacing w:after="0" w:line="240" w:lineRule="auto"/>
        <w:rPr>
          <w:rFonts w:ascii="Arial" w:hAnsi="Arial" w:cs="Arial"/>
          <w:b/>
          <w:sz w:val="24"/>
          <w:lang w:val="es-AR"/>
        </w:rPr>
      </w:pPr>
    </w:p>
    <w:p w14:paraId="056DA1D2" w14:textId="6DAA8747" w:rsidR="0023481B" w:rsidRDefault="0023481B" w:rsidP="00791AF6">
      <w:pPr>
        <w:spacing w:after="0" w:line="240" w:lineRule="auto"/>
        <w:rPr>
          <w:rFonts w:ascii="Arial" w:hAnsi="Arial" w:cs="Arial"/>
          <w:b/>
          <w:sz w:val="24"/>
          <w:lang w:val="es-AR"/>
        </w:rPr>
      </w:pPr>
    </w:p>
    <w:p w14:paraId="59E5A0D2" w14:textId="77777777" w:rsidR="0023481B" w:rsidRDefault="0023481B" w:rsidP="00791AF6">
      <w:pPr>
        <w:spacing w:after="0" w:line="240" w:lineRule="auto"/>
        <w:rPr>
          <w:rFonts w:ascii="Arial" w:hAnsi="Arial" w:cs="Arial"/>
          <w:b/>
          <w:sz w:val="24"/>
          <w:lang w:val="es-AR"/>
        </w:rPr>
      </w:pPr>
    </w:p>
    <w:p w14:paraId="59578695" w14:textId="77777777" w:rsidR="0023481B" w:rsidRDefault="0023481B" w:rsidP="00791AF6">
      <w:pPr>
        <w:spacing w:after="0" w:line="240" w:lineRule="auto"/>
        <w:rPr>
          <w:rFonts w:ascii="Arial" w:hAnsi="Arial" w:cs="Arial"/>
          <w:b/>
          <w:sz w:val="24"/>
          <w:lang w:val="es-AR"/>
        </w:rPr>
      </w:pPr>
    </w:p>
    <w:p w14:paraId="0DD2EA5C" w14:textId="77777777" w:rsidR="0023481B" w:rsidRDefault="0023481B" w:rsidP="00791AF6">
      <w:pPr>
        <w:spacing w:after="0" w:line="240" w:lineRule="auto"/>
        <w:rPr>
          <w:rFonts w:ascii="Arial" w:hAnsi="Arial" w:cs="Arial"/>
          <w:b/>
          <w:sz w:val="24"/>
          <w:lang w:val="es-AR"/>
        </w:rPr>
      </w:pPr>
    </w:p>
    <w:p w14:paraId="36AFDEDF" w14:textId="6D9436FE" w:rsidR="00C03527" w:rsidRDefault="00C03527" w:rsidP="00807E56">
      <w:pPr>
        <w:spacing w:after="0" w:line="240" w:lineRule="auto"/>
        <w:rPr>
          <w:rFonts w:ascii="Arial" w:hAnsi="Arial" w:cs="Arial"/>
          <w:b/>
          <w:sz w:val="40"/>
          <w:lang w:val="es-AR"/>
        </w:rPr>
      </w:pPr>
    </w:p>
    <w:p w14:paraId="2E1B42E6" w14:textId="11565EAF" w:rsidR="00C03527" w:rsidRDefault="00C03527" w:rsidP="00CF2728">
      <w:pPr>
        <w:rPr>
          <w:rFonts w:ascii="Arial" w:hAnsi="Arial" w:cs="Arial"/>
          <w:b/>
          <w:sz w:val="40"/>
          <w:lang w:val="es-AR"/>
        </w:rPr>
      </w:pPr>
    </w:p>
    <w:p w14:paraId="397B09C2" w14:textId="3D6413BC" w:rsidR="00807E56" w:rsidRDefault="00807E56" w:rsidP="00CF2728">
      <w:pPr>
        <w:rPr>
          <w:rFonts w:ascii="Arial" w:hAnsi="Arial" w:cs="Arial"/>
          <w:b/>
          <w:sz w:val="40"/>
          <w:lang w:val="es-AR"/>
        </w:rPr>
      </w:pPr>
    </w:p>
    <w:p w14:paraId="4355F18F" w14:textId="7945F9AC" w:rsidR="00807E56" w:rsidRDefault="00807E56" w:rsidP="00CF2728">
      <w:pPr>
        <w:rPr>
          <w:rFonts w:ascii="Arial" w:hAnsi="Arial" w:cs="Arial"/>
          <w:b/>
          <w:sz w:val="40"/>
          <w:lang w:val="es-AR"/>
        </w:rPr>
      </w:pPr>
    </w:p>
    <w:p w14:paraId="0C883D90" w14:textId="3C348F37" w:rsidR="00807E56" w:rsidRDefault="00807E56" w:rsidP="00CF2728">
      <w:pPr>
        <w:rPr>
          <w:rFonts w:ascii="Arial" w:hAnsi="Arial" w:cs="Arial"/>
          <w:b/>
          <w:sz w:val="40"/>
          <w:lang w:val="es-AR"/>
        </w:rPr>
      </w:pPr>
    </w:p>
    <w:p w14:paraId="4766F40B" w14:textId="77777777" w:rsidR="00807E56" w:rsidRDefault="00807E56" w:rsidP="00CF2728">
      <w:pPr>
        <w:rPr>
          <w:rFonts w:ascii="Arial" w:hAnsi="Arial" w:cs="Arial"/>
          <w:b/>
          <w:sz w:val="40"/>
          <w:lang w:val="es-AR"/>
        </w:rPr>
      </w:pPr>
    </w:p>
    <w:p w14:paraId="1F617404" w14:textId="77777777" w:rsidR="004B1B0E" w:rsidRDefault="004B1B0E" w:rsidP="00CF2728">
      <w:pPr>
        <w:rPr>
          <w:rFonts w:ascii="Arial" w:hAnsi="Arial" w:cs="Arial"/>
          <w:b/>
          <w:sz w:val="40"/>
          <w:lang w:val="es-AR"/>
        </w:rPr>
      </w:pPr>
    </w:p>
    <w:p w14:paraId="340F54DC" w14:textId="034CD10E" w:rsidR="00B20823" w:rsidRDefault="00B20823" w:rsidP="00CF2728">
      <w:pPr>
        <w:rPr>
          <w:rFonts w:ascii="Arial" w:hAnsi="Arial" w:cs="Arial"/>
          <w:b/>
          <w:sz w:val="40"/>
          <w:lang w:val="es-AR"/>
        </w:rPr>
      </w:pPr>
    </w:p>
    <w:p w14:paraId="34FCBBA9" w14:textId="0AE8D758" w:rsidR="00B20823" w:rsidRDefault="00B20823" w:rsidP="00CF2728">
      <w:pPr>
        <w:rPr>
          <w:rFonts w:ascii="Arial" w:hAnsi="Arial" w:cs="Arial"/>
          <w:b/>
          <w:sz w:val="40"/>
          <w:lang w:val="es-AR"/>
        </w:rPr>
      </w:pPr>
    </w:p>
    <w:p w14:paraId="219A03FE" w14:textId="77777777" w:rsidR="00B20823" w:rsidRDefault="00B20823" w:rsidP="00CF2728">
      <w:pPr>
        <w:rPr>
          <w:rFonts w:ascii="Arial" w:hAnsi="Arial" w:cs="Arial"/>
          <w:b/>
          <w:sz w:val="40"/>
          <w:lang w:val="es-AR"/>
        </w:rPr>
      </w:pPr>
    </w:p>
    <w:p w14:paraId="4D1BE950" w14:textId="77777777" w:rsidR="004B1B0E" w:rsidRDefault="004B1B0E" w:rsidP="00CF2728">
      <w:pPr>
        <w:rPr>
          <w:rFonts w:ascii="Arial" w:hAnsi="Arial" w:cs="Arial"/>
          <w:b/>
          <w:sz w:val="40"/>
          <w:lang w:val="es-AR"/>
        </w:rPr>
      </w:pPr>
    </w:p>
    <w:p w14:paraId="55A8453A" w14:textId="77777777" w:rsidR="004B1B0E" w:rsidRDefault="004B1B0E" w:rsidP="00CF2728">
      <w:pPr>
        <w:rPr>
          <w:rFonts w:ascii="Arial" w:hAnsi="Arial" w:cs="Arial"/>
          <w:b/>
          <w:sz w:val="40"/>
          <w:lang w:val="es-AR"/>
        </w:rPr>
      </w:pPr>
    </w:p>
    <w:p w14:paraId="4A5F3107" w14:textId="339AD348" w:rsidR="00CF2728" w:rsidRDefault="0071088E" w:rsidP="00CF2728">
      <w:pPr>
        <w:rPr>
          <w:rFonts w:ascii="Arial" w:hAnsi="Arial" w:cs="Arial"/>
          <w:b/>
          <w:sz w:val="40"/>
          <w:lang w:val="es-AR"/>
        </w:rPr>
      </w:pPr>
      <w:r>
        <w:rPr>
          <w:rFonts w:ascii="Arial" w:hAnsi="Arial" w:cs="Arial"/>
          <w:b/>
          <w:noProof/>
          <w:sz w:val="40"/>
          <w:lang w:val="es-AR" w:eastAsia="es-AR"/>
        </w:rPr>
        <mc:AlternateContent>
          <mc:Choice Requires="wps">
            <w:drawing>
              <wp:anchor distT="0" distB="0" distL="114300" distR="114300" simplePos="0" relativeHeight="251657728" behindDoc="1" locked="0" layoutInCell="1" allowOverlap="1" wp14:anchorId="56F7D360" wp14:editId="40C92F75">
                <wp:simplePos x="0" y="0"/>
                <wp:positionH relativeFrom="column">
                  <wp:posOffset>1038225</wp:posOffset>
                </wp:positionH>
                <wp:positionV relativeFrom="paragraph">
                  <wp:posOffset>73025</wp:posOffset>
                </wp:positionV>
                <wp:extent cx="4464050" cy="1228725"/>
                <wp:effectExtent l="0" t="0" r="31750" b="66675"/>
                <wp:wrapNone/>
                <wp:docPr id="2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0" cy="1228725"/>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CE278" id="Rectangle 2" o:spid="_x0000_s1026" style="position:absolute;margin-left:81.75pt;margin-top:5.75pt;width:351.5pt;height:9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" strokecolor="#95b3d7" strokeweight="1pt">
                <v:fill color2="#b8cce4" focus="100%" type="gradient"/>
                <v:shadow on="t" color="#243f60" opacity=".5" offset="1pt"/>
              </v:rect>
            </w:pict>
          </mc:Fallback>
        </mc:AlternateContent>
      </w:r>
    </w:p>
    <w:p w14:paraId="40E8ABD1" w14:textId="77777777" w:rsidR="00CF2728" w:rsidRPr="00772852" w:rsidRDefault="000B335A" w:rsidP="00CF2728">
      <w:pPr>
        <w:pStyle w:val="Heading1"/>
        <w:jc w:val="center"/>
        <w:rPr>
          <w:rFonts w:cs="Arial"/>
          <w:b w:val="0"/>
          <w:sz w:val="40"/>
          <w:lang w:val="es-AR"/>
        </w:rPr>
      </w:pPr>
      <w:bookmarkStart w:id="90" w:name="_Toc331003950"/>
      <w:r>
        <w:rPr>
          <w:rFonts w:cs="Arial"/>
          <w:sz w:val="40"/>
          <w:lang w:val="es-AR"/>
        </w:rPr>
        <w:t>5</w:t>
      </w:r>
      <w:r w:rsidR="00FF585D">
        <w:rPr>
          <w:rFonts w:cs="Arial"/>
          <w:sz w:val="40"/>
          <w:lang w:val="es-AR"/>
        </w:rPr>
        <w:t xml:space="preserve">. </w:t>
      </w:r>
      <w:r w:rsidR="00CF2728" w:rsidRPr="00772852">
        <w:rPr>
          <w:rFonts w:cs="Arial"/>
          <w:sz w:val="40"/>
          <w:lang w:val="es-AR"/>
        </w:rPr>
        <w:t>TABLAS</w:t>
      </w:r>
      <w:r w:rsidR="00BC44FA">
        <w:rPr>
          <w:rFonts w:cs="Arial"/>
          <w:sz w:val="40"/>
          <w:lang w:val="es-AR"/>
        </w:rPr>
        <w:t xml:space="preserve"> Y NOTAS</w:t>
      </w:r>
      <w:bookmarkEnd w:id="90"/>
    </w:p>
    <w:p w14:paraId="39143556" w14:textId="403B346C" w:rsidR="00CF2728" w:rsidRPr="00772852" w:rsidRDefault="00E43D61" w:rsidP="00CF2728">
      <w:pPr>
        <w:jc w:val="center"/>
        <w:rPr>
          <w:rFonts w:ascii="Arial" w:hAnsi="Arial" w:cs="Arial"/>
          <w:sz w:val="40"/>
          <w:lang w:val="es-AR"/>
        </w:rPr>
      </w:pPr>
      <w:r>
        <w:rPr>
          <w:rFonts w:ascii="Arial" w:hAnsi="Arial" w:cs="Arial"/>
          <w:sz w:val="40"/>
          <w:lang w:val="es-AR"/>
        </w:rPr>
        <w:t xml:space="preserve">Resultados </w:t>
      </w:r>
      <w:r w:rsidR="00BC18E4">
        <w:rPr>
          <w:rFonts w:ascii="Arial" w:hAnsi="Arial" w:cs="Arial"/>
          <w:sz w:val="40"/>
          <w:lang w:val="es-AR"/>
        </w:rPr>
        <w:t>2</w:t>
      </w:r>
      <w:r w:rsidR="00695776">
        <w:rPr>
          <w:rFonts w:ascii="Arial" w:hAnsi="Arial" w:cs="Arial"/>
          <w:sz w:val="40"/>
          <w:lang w:val="es-AR"/>
        </w:rPr>
        <w:t xml:space="preserve">T </w:t>
      </w:r>
      <w:r w:rsidR="00E151A0">
        <w:rPr>
          <w:rFonts w:ascii="Arial" w:hAnsi="Arial" w:cs="Arial"/>
          <w:sz w:val="40"/>
          <w:lang w:val="es-AR"/>
        </w:rPr>
        <w:t>201</w:t>
      </w:r>
      <w:r w:rsidR="00695776">
        <w:rPr>
          <w:rFonts w:ascii="Arial" w:hAnsi="Arial" w:cs="Arial"/>
          <w:sz w:val="40"/>
          <w:lang w:val="es-AR"/>
        </w:rPr>
        <w:t>9</w:t>
      </w:r>
    </w:p>
    <w:p w14:paraId="574EF7DC" w14:textId="77777777" w:rsidR="000F5113" w:rsidRDefault="000F5113">
      <w:pPr>
        <w:spacing w:after="0" w:line="240" w:lineRule="auto"/>
        <w:rPr>
          <w:rFonts w:ascii="Arial" w:hAnsi="Arial"/>
          <w:b/>
          <w:spacing w:val="-3"/>
          <w:szCs w:val="20"/>
          <w:lang w:val="es-ES"/>
        </w:rPr>
      </w:pPr>
    </w:p>
    <w:p w14:paraId="0B87A80A" w14:textId="77777777" w:rsidR="00CF2728" w:rsidRDefault="00CF2728">
      <w:pPr>
        <w:spacing w:after="0" w:line="240" w:lineRule="auto"/>
        <w:rPr>
          <w:rFonts w:ascii="Arial" w:hAnsi="Arial"/>
          <w:b/>
          <w:spacing w:val="-3"/>
          <w:szCs w:val="20"/>
          <w:lang w:val="es-ES"/>
        </w:rPr>
      </w:pPr>
    </w:p>
    <w:p w14:paraId="6E46376F" w14:textId="77777777" w:rsidR="005A2230" w:rsidRDefault="004D3F4B" w:rsidP="005A2230">
      <w:pPr>
        <w:pStyle w:val="Heading2"/>
        <w:ind w:right="-1"/>
        <w:jc w:val="center"/>
        <w:rPr>
          <w:spacing w:val="-3"/>
          <w:lang w:val="es-ES"/>
        </w:rPr>
      </w:pPr>
      <w:r>
        <w:rPr>
          <w:spacing w:val="-3"/>
          <w:lang w:val="es-ES"/>
        </w:rPr>
        <w:br w:type="page"/>
      </w:r>
      <w:bookmarkStart w:id="91" w:name="_Toc329350669"/>
      <w:bookmarkStart w:id="92" w:name="_Toc331003952"/>
    </w:p>
    <w:p w14:paraId="16C9992F" w14:textId="77777777" w:rsidR="00101686" w:rsidRPr="003B5C4A" w:rsidRDefault="000B335A" w:rsidP="005A2230">
      <w:pPr>
        <w:pStyle w:val="Heading2"/>
        <w:ind w:right="-1"/>
        <w:jc w:val="center"/>
        <w:rPr>
          <w:b w:val="0"/>
          <w:spacing w:val="-3"/>
          <w:lang w:val="es-ES"/>
        </w:rPr>
      </w:pPr>
      <w:r>
        <w:rPr>
          <w:rFonts w:cs="Arial"/>
          <w:spacing w:val="-3"/>
          <w:szCs w:val="18"/>
          <w:lang w:val="es-ES"/>
        </w:rPr>
        <w:lastRenderedPageBreak/>
        <w:t>5</w:t>
      </w:r>
      <w:r w:rsidR="00B841E1" w:rsidRPr="004E24D4">
        <w:rPr>
          <w:rFonts w:cs="Arial"/>
          <w:spacing w:val="-3"/>
          <w:szCs w:val="18"/>
          <w:lang w:val="es-ES"/>
        </w:rPr>
        <w:t>.</w:t>
      </w:r>
      <w:r w:rsidR="002D605D">
        <w:rPr>
          <w:rFonts w:cs="Arial"/>
          <w:spacing w:val="-3"/>
          <w:szCs w:val="18"/>
          <w:lang w:val="es-ES"/>
        </w:rPr>
        <w:t>1</w:t>
      </w:r>
      <w:r w:rsidR="00FF585D" w:rsidRPr="004E24D4">
        <w:rPr>
          <w:rFonts w:cs="Arial"/>
          <w:spacing w:val="-3"/>
          <w:szCs w:val="18"/>
          <w:lang w:val="es-ES"/>
        </w:rPr>
        <w:t xml:space="preserve"> </w:t>
      </w:r>
      <w:r w:rsidR="00101686" w:rsidRPr="004E24D4">
        <w:rPr>
          <w:rFonts w:cs="Arial"/>
          <w:spacing w:val="-3"/>
          <w:szCs w:val="18"/>
          <w:lang w:val="es-ES"/>
        </w:rPr>
        <w:t>ESTADO DE RESULTADOS CONSOLIDADO</w:t>
      </w:r>
      <w:bookmarkEnd w:id="91"/>
      <w:bookmarkEnd w:id="92"/>
    </w:p>
    <w:p w14:paraId="4F065D4A" w14:textId="6F3E7F01" w:rsidR="00101686" w:rsidRPr="002B1FB7" w:rsidRDefault="00101686" w:rsidP="002B1FB7">
      <w:pPr>
        <w:spacing w:after="0" w:line="240" w:lineRule="auto"/>
        <w:jc w:val="center"/>
        <w:rPr>
          <w:rFonts w:ascii="Arial" w:hAnsi="Arial"/>
          <w:spacing w:val="-3"/>
          <w:sz w:val="20"/>
          <w:szCs w:val="20"/>
          <w:lang w:val="es-ES"/>
        </w:rPr>
      </w:pPr>
      <w:r w:rsidRPr="002B1FB7">
        <w:rPr>
          <w:rFonts w:ascii="Arial" w:hAnsi="Arial"/>
          <w:spacing w:val="-3"/>
          <w:sz w:val="20"/>
          <w:szCs w:val="20"/>
          <w:lang w:val="es-ES"/>
        </w:rPr>
        <w:t xml:space="preserve">YPF S.A. Y </w:t>
      </w:r>
      <w:r w:rsidR="006E4BFA">
        <w:rPr>
          <w:rFonts w:ascii="Arial" w:hAnsi="Arial"/>
          <w:spacing w:val="-3"/>
          <w:sz w:val="20"/>
          <w:szCs w:val="20"/>
          <w:lang w:val="es-ES"/>
        </w:rPr>
        <w:t>COMPAÑÍA</w:t>
      </w:r>
      <w:r w:rsidRPr="002B1FB7">
        <w:rPr>
          <w:rFonts w:ascii="Arial" w:hAnsi="Arial"/>
          <w:spacing w:val="-3"/>
          <w:sz w:val="20"/>
          <w:szCs w:val="20"/>
          <w:lang w:val="es-ES"/>
        </w:rPr>
        <w:t xml:space="preserve">S CONTROLADAS </w:t>
      </w:r>
    </w:p>
    <w:p w14:paraId="4235C915" w14:textId="21A34462" w:rsidR="00101686" w:rsidRPr="00364FA5" w:rsidRDefault="007B117E" w:rsidP="0083176D">
      <w:pPr>
        <w:spacing w:after="0" w:line="240" w:lineRule="auto"/>
        <w:jc w:val="center"/>
        <w:rPr>
          <w:rFonts w:ascii="Arial" w:hAnsi="Arial"/>
          <w:spacing w:val="-3"/>
          <w:sz w:val="18"/>
          <w:szCs w:val="20"/>
          <w:lang w:val="es-ES"/>
        </w:rPr>
      </w:pPr>
      <w:r w:rsidRPr="00364FA5">
        <w:rPr>
          <w:rFonts w:ascii="Arial" w:hAnsi="Arial"/>
          <w:spacing w:val="-3"/>
          <w:sz w:val="18"/>
          <w:szCs w:val="20"/>
          <w:lang w:val="es-ES"/>
        </w:rPr>
        <w:t>(</w:t>
      </w:r>
      <w:r w:rsidR="00CF461B" w:rsidRPr="00364FA5">
        <w:rPr>
          <w:rFonts w:ascii="Arial" w:hAnsi="Arial"/>
          <w:spacing w:val="-3"/>
          <w:sz w:val="18"/>
          <w:szCs w:val="20"/>
          <w:lang w:val="es-ES"/>
        </w:rPr>
        <w:t>Cifras</w:t>
      </w:r>
      <w:r w:rsidRPr="00364FA5">
        <w:rPr>
          <w:rFonts w:ascii="Arial" w:hAnsi="Arial"/>
          <w:spacing w:val="-3"/>
          <w:sz w:val="18"/>
          <w:szCs w:val="20"/>
          <w:lang w:val="es-ES"/>
        </w:rPr>
        <w:t xml:space="preserve"> </w:t>
      </w:r>
      <w:r w:rsidR="00F62AC7" w:rsidRPr="00364FA5">
        <w:rPr>
          <w:rFonts w:ascii="Arial" w:hAnsi="Arial"/>
          <w:spacing w:val="-3"/>
          <w:sz w:val="18"/>
          <w:szCs w:val="20"/>
          <w:lang w:val="es-ES"/>
        </w:rPr>
        <w:t xml:space="preserve">no auditadas </w:t>
      </w:r>
      <w:r w:rsidRPr="00364FA5">
        <w:rPr>
          <w:rFonts w:ascii="Arial" w:hAnsi="Arial"/>
          <w:spacing w:val="-3"/>
          <w:sz w:val="18"/>
          <w:szCs w:val="20"/>
          <w:lang w:val="es-ES"/>
        </w:rPr>
        <w:t>expresadas en millones de</w:t>
      </w:r>
      <w:r w:rsidR="001F3318" w:rsidRPr="00364FA5">
        <w:rPr>
          <w:rFonts w:ascii="Arial" w:hAnsi="Arial"/>
          <w:spacing w:val="-3"/>
          <w:sz w:val="18"/>
          <w:szCs w:val="20"/>
          <w:lang w:val="es-ES"/>
        </w:rPr>
        <w:t xml:space="preserve"> pesos</w:t>
      </w:r>
      <w:r w:rsidR="0083176D" w:rsidRPr="00364FA5">
        <w:rPr>
          <w:rFonts w:ascii="Arial" w:hAnsi="Arial"/>
          <w:spacing w:val="-3"/>
          <w:sz w:val="18"/>
          <w:szCs w:val="20"/>
          <w:lang w:val="es-ES"/>
        </w:rPr>
        <w:t>)</w:t>
      </w:r>
    </w:p>
    <w:p w14:paraId="2470055E" w14:textId="77777777" w:rsidR="00FC5BE9" w:rsidRPr="007137F0" w:rsidRDefault="00FC5BE9" w:rsidP="007137F0">
      <w:pPr>
        <w:pStyle w:val="Heading2"/>
        <w:rPr>
          <w:rFonts w:cs="Arial"/>
          <w:spacing w:val="-3"/>
          <w:sz w:val="14"/>
          <w:szCs w:val="14"/>
          <w:lang w:val="es-AR"/>
        </w:rPr>
      </w:pPr>
    </w:p>
    <w:p w14:paraId="788ABFB6" w14:textId="25DF4392" w:rsidR="002103B0" w:rsidRPr="00B4576B" w:rsidRDefault="006C4CBA" w:rsidP="00364FA5">
      <w:pPr>
        <w:pStyle w:val="Heading2"/>
        <w:rPr>
          <w:lang w:val="es-AR"/>
        </w:rPr>
      </w:pPr>
      <w:r w:rsidRPr="006C4CBA">
        <w:rPr>
          <w:b w:val="0"/>
          <w:lang w:val="es-AR"/>
        </w:rPr>
        <w:t xml:space="preserve"> </w:t>
      </w:r>
      <w:r w:rsidRPr="006C4CBA">
        <w:rPr>
          <w:noProof/>
        </w:rPr>
        <w:drawing>
          <wp:inline distT="0" distB="0" distL="0" distR="0" wp14:anchorId="5A9211B8" wp14:editId="54F37D24">
            <wp:extent cx="6570980" cy="3573563"/>
            <wp:effectExtent l="0" t="0" r="127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70980" cy="3573563"/>
                    </a:xfrm>
                    <a:prstGeom prst="rect">
                      <a:avLst/>
                    </a:prstGeom>
                    <a:noFill/>
                    <a:ln>
                      <a:noFill/>
                    </a:ln>
                  </pic:spPr>
                </pic:pic>
              </a:graphicData>
            </a:graphic>
          </wp:inline>
        </w:drawing>
      </w:r>
    </w:p>
    <w:p w14:paraId="7DE99DC7" w14:textId="77777777" w:rsidR="00B961C5" w:rsidRPr="00485C1E" w:rsidRDefault="00B961C5" w:rsidP="00B074D6">
      <w:pPr>
        <w:spacing w:after="0" w:line="240" w:lineRule="auto"/>
        <w:jc w:val="center"/>
        <w:rPr>
          <w:rFonts w:ascii="Arial" w:hAnsi="Arial" w:cs="Arial"/>
          <w:sz w:val="14"/>
          <w:szCs w:val="14"/>
          <w:lang w:val="es-AR"/>
        </w:rPr>
      </w:pPr>
    </w:p>
    <w:p w14:paraId="0656D475" w14:textId="77777777" w:rsidR="00310B07" w:rsidRDefault="00310B07" w:rsidP="00310B07">
      <w:pPr>
        <w:spacing w:after="0" w:line="240" w:lineRule="auto"/>
        <w:jc w:val="center"/>
        <w:rPr>
          <w:rFonts w:ascii="Arial" w:eastAsia="Times New Roman" w:hAnsi="Arial" w:cs="Arial"/>
          <w:sz w:val="16"/>
          <w:szCs w:val="16"/>
          <w:lang w:val="es-AR" w:eastAsia="es-AR"/>
        </w:rPr>
      </w:pPr>
      <w:r>
        <w:rPr>
          <w:rFonts w:ascii="Arial" w:eastAsia="Times New Roman" w:hAnsi="Arial" w:cs="Arial"/>
          <w:sz w:val="16"/>
          <w:szCs w:val="16"/>
          <w:lang w:val="es-AR" w:eastAsia="es-AR"/>
        </w:rPr>
        <w:t xml:space="preserve">Nota: </w:t>
      </w:r>
      <w:r w:rsidRPr="00FB4E5C">
        <w:rPr>
          <w:rFonts w:ascii="Arial" w:eastAsia="Times New Roman" w:hAnsi="Arial" w:cs="Arial"/>
          <w:sz w:val="16"/>
          <w:szCs w:val="16"/>
          <w:lang w:val="es-AR" w:eastAsia="es-AR"/>
        </w:rPr>
        <w:t>Datos según Normas Internacionales de Información Financiera (NIIF)</w:t>
      </w:r>
      <w:r>
        <w:rPr>
          <w:rFonts w:ascii="Arial" w:eastAsia="Times New Roman" w:hAnsi="Arial" w:cs="Arial"/>
          <w:sz w:val="16"/>
          <w:szCs w:val="16"/>
          <w:lang w:val="es-AR" w:eastAsia="es-AR"/>
        </w:rPr>
        <w:t>.</w:t>
      </w:r>
    </w:p>
    <w:p w14:paraId="4C21350A" w14:textId="77777777" w:rsidR="00310B07" w:rsidRDefault="00310B07" w:rsidP="00310B07">
      <w:pPr>
        <w:spacing w:after="0" w:line="240" w:lineRule="auto"/>
        <w:jc w:val="center"/>
        <w:rPr>
          <w:rFonts w:ascii="Arial" w:eastAsia="Times New Roman" w:hAnsi="Arial" w:cs="Arial"/>
          <w:sz w:val="16"/>
          <w:szCs w:val="18"/>
          <w:lang w:val="es-AR" w:eastAsia="es-AR"/>
        </w:rPr>
      </w:pPr>
    </w:p>
    <w:p w14:paraId="177CF2F3" w14:textId="54F50775" w:rsidR="00670C4C" w:rsidRPr="00364FA5" w:rsidRDefault="007E1F50" w:rsidP="00364FA5">
      <w:pPr>
        <w:spacing w:after="0" w:line="240" w:lineRule="auto"/>
        <w:rPr>
          <w:rFonts w:ascii="Arial" w:eastAsia="Times New Roman" w:hAnsi="Arial" w:cs="Arial"/>
          <w:sz w:val="16"/>
          <w:szCs w:val="18"/>
          <w:lang w:val="es-AR" w:eastAsia="es-AR"/>
        </w:rPr>
      </w:pPr>
      <w:r>
        <w:rPr>
          <w:rFonts w:ascii="Arial" w:eastAsia="Times New Roman" w:hAnsi="Arial" w:cs="Arial"/>
          <w:sz w:val="16"/>
          <w:szCs w:val="18"/>
          <w:lang w:val="es-AR" w:eastAsia="es-AR"/>
        </w:rPr>
        <w:t xml:space="preserve"> </w:t>
      </w:r>
      <w:r w:rsidR="00310B07">
        <w:rPr>
          <w:rFonts w:ascii="Arial" w:eastAsia="Times New Roman" w:hAnsi="Arial" w:cs="Arial"/>
          <w:sz w:val="16"/>
          <w:szCs w:val="18"/>
          <w:lang w:val="es-AR" w:eastAsia="es-AR"/>
        </w:rPr>
        <w:t>(</w:t>
      </w:r>
      <w:r w:rsidR="00310B07" w:rsidRPr="00B95787">
        <w:rPr>
          <w:rFonts w:ascii="Arial" w:eastAsia="Times New Roman" w:hAnsi="Arial" w:cs="Arial"/>
          <w:sz w:val="16"/>
          <w:szCs w:val="18"/>
          <w:lang w:val="es-AR" w:eastAsia="es-AR"/>
        </w:rPr>
        <w:t>*</w:t>
      </w:r>
      <w:r w:rsidR="00310B07">
        <w:rPr>
          <w:rFonts w:ascii="Arial" w:eastAsia="Times New Roman" w:hAnsi="Arial" w:cs="Arial"/>
          <w:sz w:val="16"/>
          <w:szCs w:val="18"/>
          <w:lang w:val="es-AR" w:eastAsia="es-AR"/>
        </w:rPr>
        <w:t>)</w:t>
      </w:r>
      <w:r w:rsidR="00310B07" w:rsidRPr="00B95787">
        <w:rPr>
          <w:rFonts w:ascii="Arial" w:eastAsia="Times New Roman" w:hAnsi="Arial" w:cs="Arial"/>
          <w:sz w:val="16"/>
          <w:szCs w:val="18"/>
          <w:lang w:val="es-AR" w:eastAsia="es-AR"/>
        </w:rPr>
        <w:t xml:space="preserve"> EBITDA = </w:t>
      </w:r>
      <w:r w:rsidR="00310B07">
        <w:rPr>
          <w:rFonts w:ascii="Arial" w:eastAsia="Times New Roman" w:hAnsi="Arial" w:cs="Arial"/>
          <w:sz w:val="16"/>
          <w:szCs w:val="18"/>
          <w:lang w:val="es-AR" w:eastAsia="es-AR"/>
        </w:rPr>
        <w:t>Utilidad Operativa</w:t>
      </w:r>
      <w:r w:rsidR="00310B07" w:rsidRPr="00B95787">
        <w:rPr>
          <w:rFonts w:ascii="Arial" w:eastAsia="Times New Roman" w:hAnsi="Arial" w:cs="Arial"/>
          <w:sz w:val="16"/>
          <w:szCs w:val="18"/>
          <w:lang w:val="es-AR" w:eastAsia="es-AR"/>
        </w:rPr>
        <w:t xml:space="preserve"> + </w:t>
      </w:r>
      <w:r w:rsidR="00310B07">
        <w:rPr>
          <w:rFonts w:ascii="Arial" w:eastAsia="Times New Roman" w:hAnsi="Arial" w:cs="Arial"/>
          <w:sz w:val="16"/>
          <w:szCs w:val="18"/>
          <w:lang w:val="es-AR" w:eastAsia="es-AR"/>
        </w:rPr>
        <w:t xml:space="preserve">Depreciación de </w:t>
      </w:r>
      <w:r w:rsidR="005D24E3">
        <w:rPr>
          <w:rFonts w:ascii="Arial" w:eastAsia="Times New Roman" w:hAnsi="Arial" w:cs="Arial"/>
          <w:sz w:val="16"/>
          <w:szCs w:val="18"/>
          <w:lang w:val="es-AR" w:eastAsia="es-AR"/>
        </w:rPr>
        <w:t>propiedad</w:t>
      </w:r>
      <w:r>
        <w:rPr>
          <w:rFonts w:ascii="Arial" w:eastAsia="Times New Roman" w:hAnsi="Arial" w:cs="Arial"/>
          <w:sz w:val="16"/>
          <w:szCs w:val="18"/>
          <w:lang w:val="es-AR" w:eastAsia="es-AR"/>
        </w:rPr>
        <w:t>, planta y equipo</w:t>
      </w:r>
      <w:r w:rsidR="00310B07">
        <w:rPr>
          <w:rFonts w:ascii="Arial" w:eastAsia="Times New Roman" w:hAnsi="Arial" w:cs="Arial"/>
          <w:sz w:val="16"/>
          <w:szCs w:val="18"/>
          <w:lang w:val="es-AR" w:eastAsia="es-AR"/>
        </w:rPr>
        <w:t xml:space="preserve"> +</w:t>
      </w:r>
      <w:r w:rsidR="00670C4C">
        <w:rPr>
          <w:rFonts w:ascii="Arial" w:eastAsia="Times New Roman" w:hAnsi="Arial" w:cs="Arial"/>
          <w:sz w:val="16"/>
          <w:szCs w:val="18"/>
          <w:lang w:val="es-AR" w:eastAsia="es-AR"/>
        </w:rPr>
        <w:t xml:space="preserve"> </w:t>
      </w:r>
      <w:r w:rsidR="00670C4C" w:rsidRPr="00364FA5">
        <w:rPr>
          <w:rFonts w:ascii="Arial" w:eastAsia="Times New Roman" w:hAnsi="Arial" w:cs="Arial"/>
          <w:sz w:val="16"/>
          <w:szCs w:val="18"/>
          <w:lang w:val="es-AR" w:eastAsia="es-AR"/>
        </w:rPr>
        <w:t>Depreciación de activos por derecho de uso +</w:t>
      </w:r>
      <w:r w:rsidR="001F33C3">
        <w:rPr>
          <w:rFonts w:ascii="Arial" w:eastAsia="Times New Roman" w:hAnsi="Arial" w:cs="Arial"/>
          <w:sz w:val="16"/>
          <w:szCs w:val="18"/>
          <w:lang w:val="es-AR" w:eastAsia="es-AR"/>
        </w:rPr>
        <w:t xml:space="preserve"> </w:t>
      </w:r>
    </w:p>
    <w:p w14:paraId="30FCA4BD" w14:textId="01011AB9" w:rsidR="00310B07" w:rsidRPr="00B95787" w:rsidRDefault="00310B07" w:rsidP="00364FA5">
      <w:pPr>
        <w:spacing w:after="0" w:line="240" w:lineRule="auto"/>
        <w:rPr>
          <w:rFonts w:ascii="Arial" w:eastAsia="Times New Roman" w:hAnsi="Arial" w:cs="Arial"/>
          <w:sz w:val="16"/>
          <w:szCs w:val="18"/>
          <w:lang w:val="es-AR" w:eastAsia="es-AR"/>
        </w:rPr>
      </w:pPr>
      <w:r>
        <w:rPr>
          <w:rFonts w:ascii="Arial" w:eastAsia="Times New Roman" w:hAnsi="Arial" w:cs="Arial"/>
          <w:sz w:val="16"/>
          <w:szCs w:val="18"/>
          <w:lang w:val="es-AR" w:eastAsia="es-AR"/>
        </w:rPr>
        <w:t>Amortización de activos intangibles</w:t>
      </w:r>
      <w:r w:rsidR="0068699A">
        <w:rPr>
          <w:rFonts w:ascii="Arial" w:eastAsia="Times New Roman" w:hAnsi="Arial" w:cs="Arial"/>
          <w:sz w:val="16"/>
          <w:szCs w:val="18"/>
          <w:lang w:val="es-AR" w:eastAsia="es-AR"/>
        </w:rPr>
        <w:t xml:space="preserve"> + Perforaciones exploratorias improductivas</w:t>
      </w:r>
      <w:r w:rsidR="00480D00">
        <w:rPr>
          <w:rFonts w:ascii="Arial" w:eastAsia="Times New Roman" w:hAnsi="Arial" w:cs="Arial"/>
          <w:sz w:val="16"/>
          <w:szCs w:val="18"/>
          <w:lang w:val="es-AR" w:eastAsia="es-AR"/>
        </w:rPr>
        <w:t xml:space="preserve"> + </w:t>
      </w:r>
      <w:r w:rsidR="005D24E3">
        <w:rPr>
          <w:rFonts w:ascii="Arial" w:eastAsia="Times New Roman" w:hAnsi="Arial" w:cs="Arial"/>
          <w:sz w:val="16"/>
          <w:szCs w:val="18"/>
          <w:lang w:val="es-AR" w:eastAsia="es-AR"/>
        </w:rPr>
        <w:t>(</w:t>
      </w:r>
      <w:r w:rsidR="007E1F50">
        <w:rPr>
          <w:rFonts w:ascii="Arial" w:eastAsia="Times New Roman" w:hAnsi="Arial" w:cs="Arial"/>
          <w:sz w:val="16"/>
          <w:szCs w:val="18"/>
          <w:lang w:val="es-AR" w:eastAsia="es-AR"/>
        </w:rPr>
        <w:t>Recupero</w:t>
      </w:r>
      <w:r w:rsidR="005D24E3">
        <w:rPr>
          <w:rFonts w:ascii="Arial" w:eastAsia="Times New Roman" w:hAnsi="Arial" w:cs="Arial"/>
          <w:sz w:val="16"/>
          <w:szCs w:val="18"/>
          <w:lang w:val="es-AR" w:eastAsia="es-AR"/>
        </w:rPr>
        <w:t>)</w:t>
      </w:r>
      <w:r w:rsidR="007E1F50">
        <w:rPr>
          <w:rFonts w:ascii="Arial" w:eastAsia="Times New Roman" w:hAnsi="Arial" w:cs="Arial"/>
          <w:sz w:val="16"/>
          <w:szCs w:val="18"/>
          <w:lang w:val="es-AR" w:eastAsia="es-AR"/>
        </w:rPr>
        <w:t xml:space="preserve"> / </w:t>
      </w:r>
      <w:r w:rsidR="00480D00">
        <w:rPr>
          <w:rFonts w:ascii="Arial" w:eastAsia="Times New Roman" w:hAnsi="Arial" w:cs="Arial"/>
          <w:sz w:val="16"/>
          <w:szCs w:val="18"/>
          <w:lang w:val="es-AR" w:eastAsia="es-AR"/>
        </w:rPr>
        <w:t xml:space="preserve">Deterioro de </w:t>
      </w:r>
      <w:r w:rsidR="007E1F50">
        <w:rPr>
          <w:rFonts w:ascii="Arial" w:eastAsia="Times New Roman" w:hAnsi="Arial" w:cs="Arial"/>
          <w:sz w:val="16"/>
          <w:szCs w:val="18"/>
          <w:lang w:val="es-AR" w:eastAsia="es-AR"/>
        </w:rPr>
        <w:t>propiedades, planta y equipo</w:t>
      </w:r>
      <w:r w:rsidR="006B6387">
        <w:rPr>
          <w:rFonts w:ascii="Arial" w:eastAsia="Times New Roman" w:hAnsi="Arial" w:cs="Arial"/>
          <w:sz w:val="16"/>
          <w:szCs w:val="18"/>
          <w:lang w:val="es-AR" w:eastAsia="es-AR"/>
        </w:rPr>
        <w:t>.</w:t>
      </w:r>
    </w:p>
    <w:p w14:paraId="6748B3E9" w14:textId="77777777" w:rsidR="00933E4B" w:rsidRPr="004F799E" w:rsidRDefault="00933E4B" w:rsidP="001A66C1">
      <w:pPr>
        <w:spacing w:after="0" w:line="240" w:lineRule="auto"/>
        <w:jc w:val="center"/>
        <w:rPr>
          <w:rFonts w:ascii="Arial" w:eastAsia="Times New Roman" w:hAnsi="Arial" w:cs="Arial"/>
          <w:sz w:val="16"/>
          <w:szCs w:val="18"/>
          <w:lang w:val="es-AR" w:eastAsia="es-AR"/>
        </w:rPr>
      </w:pPr>
    </w:p>
    <w:p w14:paraId="6B2AD5E5" w14:textId="77777777" w:rsidR="008E0C23" w:rsidRDefault="008E0C23" w:rsidP="001A66C1">
      <w:pPr>
        <w:spacing w:after="0" w:line="240" w:lineRule="auto"/>
        <w:jc w:val="center"/>
        <w:rPr>
          <w:rFonts w:ascii="Arial" w:eastAsia="Times New Roman" w:hAnsi="Arial"/>
          <w:b/>
          <w:spacing w:val="-3"/>
          <w:sz w:val="20"/>
          <w:szCs w:val="20"/>
          <w:lang w:val="es-ES"/>
        </w:rPr>
      </w:pPr>
    </w:p>
    <w:p w14:paraId="655CB3BE" w14:textId="77777777" w:rsidR="003B5C4A" w:rsidRPr="00DC688F" w:rsidRDefault="004D3F4B" w:rsidP="001F3318">
      <w:pPr>
        <w:pStyle w:val="Heading2"/>
        <w:ind w:right="-1"/>
        <w:jc w:val="center"/>
        <w:rPr>
          <w:rFonts w:cs="Arial"/>
          <w:spacing w:val="-3"/>
          <w:szCs w:val="18"/>
          <w:lang w:val="es-ES"/>
        </w:rPr>
      </w:pPr>
      <w:r>
        <w:rPr>
          <w:spacing w:val="-3"/>
          <w:lang w:val="es-ES"/>
        </w:rPr>
        <w:br w:type="page"/>
      </w:r>
      <w:bookmarkStart w:id="93" w:name="_Toc331003953"/>
      <w:r w:rsidR="000B335A" w:rsidRPr="00DC688F">
        <w:rPr>
          <w:rFonts w:cs="Arial"/>
          <w:spacing w:val="-3"/>
          <w:szCs w:val="18"/>
          <w:lang w:val="es-ES"/>
        </w:rPr>
        <w:lastRenderedPageBreak/>
        <w:t>5</w:t>
      </w:r>
      <w:r w:rsidR="002D605D" w:rsidRPr="00DC688F">
        <w:rPr>
          <w:rFonts w:cs="Arial"/>
          <w:spacing w:val="-3"/>
          <w:szCs w:val="18"/>
          <w:lang w:val="es-ES"/>
        </w:rPr>
        <w:t>.2</w:t>
      </w:r>
      <w:r w:rsidR="00FF585D" w:rsidRPr="00DC688F">
        <w:rPr>
          <w:rFonts w:cs="Arial"/>
          <w:spacing w:val="-3"/>
          <w:szCs w:val="18"/>
          <w:lang w:val="es-ES"/>
        </w:rPr>
        <w:t xml:space="preserve"> </w:t>
      </w:r>
      <w:r w:rsidR="003B5C4A" w:rsidRPr="00DC688F">
        <w:rPr>
          <w:rFonts w:cs="Arial"/>
          <w:spacing w:val="-3"/>
          <w:szCs w:val="18"/>
          <w:lang w:val="es-ES"/>
        </w:rPr>
        <w:t>BALANCE GENERAL CONSOLIDADO</w:t>
      </w:r>
      <w:bookmarkEnd w:id="93"/>
    </w:p>
    <w:p w14:paraId="30685C1D" w14:textId="153DFB05" w:rsidR="003B5C4A" w:rsidRPr="00DC688F" w:rsidRDefault="003B5C4A" w:rsidP="00DC688F">
      <w:pPr>
        <w:pStyle w:val="Heading2"/>
        <w:ind w:right="-1"/>
        <w:jc w:val="center"/>
        <w:rPr>
          <w:rFonts w:cs="Arial"/>
          <w:b w:val="0"/>
          <w:spacing w:val="-3"/>
          <w:szCs w:val="18"/>
          <w:lang w:val="es-ES"/>
        </w:rPr>
      </w:pPr>
      <w:r w:rsidRPr="00DC688F">
        <w:rPr>
          <w:rFonts w:cs="Arial"/>
          <w:b w:val="0"/>
          <w:spacing w:val="-3"/>
          <w:szCs w:val="18"/>
          <w:lang w:val="es-ES"/>
        </w:rPr>
        <w:t xml:space="preserve">YPF S.A. Y </w:t>
      </w:r>
      <w:r w:rsidR="006E4BFA" w:rsidRPr="00DC688F">
        <w:rPr>
          <w:rFonts w:cs="Arial"/>
          <w:b w:val="0"/>
          <w:spacing w:val="-3"/>
          <w:szCs w:val="18"/>
          <w:lang w:val="es-ES"/>
        </w:rPr>
        <w:t>COMPAÑÍA</w:t>
      </w:r>
      <w:r w:rsidRPr="00DC688F">
        <w:rPr>
          <w:rFonts w:cs="Arial"/>
          <w:b w:val="0"/>
          <w:spacing w:val="-3"/>
          <w:szCs w:val="18"/>
          <w:lang w:val="es-ES"/>
        </w:rPr>
        <w:t>S CONTROLADAS</w:t>
      </w:r>
    </w:p>
    <w:p w14:paraId="2EA28114" w14:textId="418C7815" w:rsidR="003B5C4A" w:rsidRPr="00364FA5" w:rsidRDefault="007B117E" w:rsidP="00DC688F">
      <w:pPr>
        <w:pStyle w:val="Heading2"/>
        <w:ind w:right="-1"/>
        <w:jc w:val="center"/>
        <w:rPr>
          <w:rFonts w:cs="Arial"/>
          <w:b w:val="0"/>
          <w:spacing w:val="-3"/>
          <w:sz w:val="18"/>
          <w:szCs w:val="18"/>
          <w:lang w:val="es-ES"/>
        </w:rPr>
      </w:pPr>
      <w:r w:rsidRPr="00364FA5">
        <w:rPr>
          <w:rFonts w:cs="Arial"/>
          <w:b w:val="0"/>
          <w:spacing w:val="-3"/>
          <w:sz w:val="18"/>
          <w:szCs w:val="18"/>
          <w:lang w:val="es-ES"/>
        </w:rPr>
        <w:t>(</w:t>
      </w:r>
      <w:r w:rsidR="00CF461B" w:rsidRPr="00364FA5">
        <w:rPr>
          <w:rFonts w:cs="Arial"/>
          <w:b w:val="0"/>
          <w:spacing w:val="-3"/>
          <w:sz w:val="18"/>
          <w:szCs w:val="18"/>
          <w:lang w:val="es-ES"/>
        </w:rPr>
        <w:t>Cifras</w:t>
      </w:r>
      <w:r w:rsidRPr="00364FA5">
        <w:rPr>
          <w:rFonts w:cs="Arial"/>
          <w:b w:val="0"/>
          <w:spacing w:val="-3"/>
          <w:sz w:val="18"/>
          <w:szCs w:val="18"/>
          <w:lang w:val="es-ES"/>
        </w:rPr>
        <w:t xml:space="preserve"> </w:t>
      </w:r>
      <w:r w:rsidR="0085243E" w:rsidRPr="00364FA5">
        <w:rPr>
          <w:rFonts w:cs="Arial"/>
          <w:b w:val="0"/>
          <w:spacing w:val="-3"/>
          <w:sz w:val="18"/>
          <w:szCs w:val="18"/>
          <w:lang w:val="es-ES"/>
        </w:rPr>
        <w:t xml:space="preserve">no auditadas </w:t>
      </w:r>
      <w:r w:rsidRPr="00364FA5">
        <w:rPr>
          <w:rFonts w:cs="Arial"/>
          <w:b w:val="0"/>
          <w:spacing w:val="-3"/>
          <w:sz w:val="18"/>
          <w:szCs w:val="18"/>
          <w:lang w:val="es-ES"/>
        </w:rPr>
        <w:t>expresadas en millones de pesos</w:t>
      </w:r>
      <w:r w:rsidR="00254FAB" w:rsidRPr="00364FA5">
        <w:rPr>
          <w:rFonts w:cs="Arial"/>
          <w:b w:val="0"/>
          <w:spacing w:val="-3"/>
          <w:sz w:val="18"/>
          <w:szCs w:val="18"/>
          <w:lang w:val="es-ES"/>
        </w:rPr>
        <w:t>)</w:t>
      </w:r>
    </w:p>
    <w:p w14:paraId="7D79B545" w14:textId="77777777" w:rsidR="003A5285" w:rsidRPr="007137F0" w:rsidRDefault="003A5285" w:rsidP="007137F0">
      <w:pPr>
        <w:pStyle w:val="Heading2"/>
        <w:rPr>
          <w:rFonts w:cs="Arial"/>
          <w:spacing w:val="-3"/>
          <w:sz w:val="14"/>
          <w:szCs w:val="14"/>
          <w:lang w:val="es-AR"/>
        </w:rPr>
      </w:pPr>
    </w:p>
    <w:p w14:paraId="2B3EAD1D" w14:textId="1687AA48" w:rsidR="00FC5BE9" w:rsidRDefault="00496960" w:rsidP="0057040C">
      <w:pPr>
        <w:spacing w:after="0" w:line="240" w:lineRule="auto"/>
        <w:jc w:val="center"/>
        <w:rPr>
          <w:rFonts w:ascii="Arial" w:hAnsi="Arial"/>
          <w:spacing w:val="-3"/>
          <w:sz w:val="20"/>
          <w:szCs w:val="20"/>
          <w:lang w:val="es-ES"/>
        </w:rPr>
      </w:pPr>
      <w:r w:rsidRPr="00496960">
        <w:rPr>
          <w:rFonts w:ascii="Arial" w:hAnsi="Arial"/>
          <w:spacing w:val="-3"/>
          <w:sz w:val="20"/>
          <w:szCs w:val="20"/>
          <w:lang w:val="es-ES"/>
        </w:rPr>
        <w:t xml:space="preserve"> </w:t>
      </w:r>
      <w:r w:rsidR="00807E56" w:rsidRPr="00807E56">
        <w:rPr>
          <w:noProof/>
        </w:rPr>
        <w:drawing>
          <wp:inline distT="0" distB="0" distL="0" distR="0" wp14:anchorId="37DDA149" wp14:editId="48F02374">
            <wp:extent cx="4013911" cy="7372800"/>
            <wp:effectExtent l="0" t="0" r="571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13911" cy="7372800"/>
                    </a:xfrm>
                    <a:prstGeom prst="rect">
                      <a:avLst/>
                    </a:prstGeom>
                    <a:noFill/>
                    <a:ln>
                      <a:noFill/>
                    </a:ln>
                  </pic:spPr>
                </pic:pic>
              </a:graphicData>
            </a:graphic>
          </wp:inline>
        </w:drawing>
      </w:r>
    </w:p>
    <w:p w14:paraId="1E840B00" w14:textId="77777777" w:rsidR="0057040C" w:rsidRPr="0057040C" w:rsidRDefault="0057040C" w:rsidP="0057040C">
      <w:pPr>
        <w:spacing w:after="0" w:line="240" w:lineRule="auto"/>
        <w:jc w:val="center"/>
        <w:rPr>
          <w:rFonts w:ascii="Arial" w:hAnsi="Arial"/>
          <w:spacing w:val="-3"/>
          <w:sz w:val="20"/>
          <w:szCs w:val="20"/>
          <w:lang w:val="es-ES"/>
        </w:rPr>
      </w:pPr>
    </w:p>
    <w:p w14:paraId="4AA6D431" w14:textId="77777777" w:rsidR="001A66C1" w:rsidRDefault="00773B42" w:rsidP="00CA0E05">
      <w:pPr>
        <w:spacing w:after="0" w:line="240" w:lineRule="auto"/>
        <w:jc w:val="center"/>
        <w:rPr>
          <w:rFonts w:ascii="Arial" w:eastAsia="Times New Roman" w:hAnsi="Arial" w:cs="Arial"/>
          <w:sz w:val="16"/>
          <w:szCs w:val="18"/>
          <w:lang w:val="es-AR" w:eastAsia="es-AR"/>
        </w:rPr>
      </w:pPr>
      <w:r w:rsidRPr="00773B42">
        <w:rPr>
          <w:rFonts w:ascii="Arial" w:hAnsi="Arial"/>
          <w:b/>
          <w:spacing w:val="-3"/>
          <w:szCs w:val="20"/>
          <w:lang w:val="es-ES"/>
        </w:rPr>
        <w:t xml:space="preserve"> </w:t>
      </w:r>
      <w:r w:rsidR="001A66C1">
        <w:rPr>
          <w:rFonts w:ascii="Arial" w:eastAsia="Times New Roman" w:hAnsi="Arial" w:cs="Arial"/>
          <w:sz w:val="16"/>
          <w:szCs w:val="16"/>
          <w:lang w:val="es-AR" w:eastAsia="es-AR"/>
        </w:rPr>
        <w:t xml:space="preserve">Nota: </w:t>
      </w:r>
      <w:r w:rsidR="001A66C1" w:rsidRPr="00FB4E5C">
        <w:rPr>
          <w:rFonts w:ascii="Arial" w:eastAsia="Times New Roman" w:hAnsi="Arial" w:cs="Arial"/>
          <w:sz w:val="16"/>
          <w:szCs w:val="16"/>
          <w:lang w:val="es-AR" w:eastAsia="es-AR"/>
        </w:rPr>
        <w:t>Datos según Normas Internacionales de Información Financiera (NIIF)</w:t>
      </w:r>
      <w:r w:rsidR="001A66C1">
        <w:rPr>
          <w:rFonts w:ascii="Arial" w:eastAsia="Times New Roman" w:hAnsi="Arial" w:cs="Arial"/>
          <w:sz w:val="16"/>
          <w:szCs w:val="16"/>
          <w:lang w:val="es-AR" w:eastAsia="es-AR"/>
        </w:rPr>
        <w:t>.</w:t>
      </w:r>
    </w:p>
    <w:p w14:paraId="7D2749CB" w14:textId="77777777" w:rsidR="00150565" w:rsidRPr="003B5C4A" w:rsidRDefault="004D3F4B" w:rsidP="00CF2728">
      <w:pPr>
        <w:pStyle w:val="Heading2"/>
        <w:jc w:val="center"/>
        <w:rPr>
          <w:b w:val="0"/>
          <w:spacing w:val="-3"/>
          <w:lang w:val="es-ES"/>
        </w:rPr>
      </w:pPr>
      <w:r>
        <w:rPr>
          <w:spacing w:val="-3"/>
          <w:lang w:val="es-ES"/>
        </w:rPr>
        <w:br w:type="page"/>
      </w:r>
      <w:bookmarkStart w:id="94" w:name="_Toc331003954"/>
      <w:r w:rsidR="000B335A">
        <w:rPr>
          <w:spacing w:val="-3"/>
          <w:lang w:val="es-ES"/>
        </w:rPr>
        <w:lastRenderedPageBreak/>
        <w:t>5</w:t>
      </w:r>
      <w:r w:rsidR="00FF585D">
        <w:rPr>
          <w:spacing w:val="-3"/>
          <w:lang w:val="es-ES"/>
        </w:rPr>
        <w:t>.</w:t>
      </w:r>
      <w:r w:rsidR="002D605D">
        <w:rPr>
          <w:spacing w:val="-3"/>
          <w:lang w:val="es-ES"/>
        </w:rPr>
        <w:t>3</w:t>
      </w:r>
      <w:r w:rsidR="00FF585D">
        <w:rPr>
          <w:spacing w:val="-3"/>
          <w:lang w:val="es-ES"/>
        </w:rPr>
        <w:t xml:space="preserve"> </w:t>
      </w:r>
      <w:r w:rsidR="00150565">
        <w:rPr>
          <w:spacing w:val="-3"/>
          <w:lang w:val="es-ES"/>
        </w:rPr>
        <w:t xml:space="preserve">ESTADO DE </w:t>
      </w:r>
      <w:r w:rsidR="005F6693">
        <w:rPr>
          <w:spacing w:val="-3"/>
          <w:lang w:val="es-ES"/>
        </w:rPr>
        <w:t>FLUJO DE EFECTIVO</w:t>
      </w:r>
      <w:r w:rsidR="00150565" w:rsidRPr="003B5C4A">
        <w:rPr>
          <w:spacing w:val="-3"/>
          <w:lang w:val="es-ES"/>
        </w:rPr>
        <w:t xml:space="preserve"> CONSOLIDADO</w:t>
      </w:r>
      <w:bookmarkEnd w:id="94"/>
      <w:r w:rsidR="00BA571F">
        <w:rPr>
          <w:spacing w:val="-3"/>
          <w:lang w:val="es-ES"/>
        </w:rPr>
        <w:t xml:space="preserve"> </w:t>
      </w:r>
    </w:p>
    <w:p w14:paraId="6746E376" w14:textId="01C4828C" w:rsidR="00150565" w:rsidRPr="002B1FB7" w:rsidRDefault="00150565" w:rsidP="00150565">
      <w:pPr>
        <w:spacing w:after="0" w:line="240" w:lineRule="auto"/>
        <w:jc w:val="center"/>
        <w:rPr>
          <w:rFonts w:ascii="Arial" w:hAnsi="Arial"/>
          <w:spacing w:val="-3"/>
          <w:sz w:val="20"/>
          <w:szCs w:val="20"/>
          <w:lang w:val="es-ES"/>
        </w:rPr>
      </w:pPr>
      <w:r w:rsidRPr="002B1FB7">
        <w:rPr>
          <w:rFonts w:ascii="Arial" w:hAnsi="Arial"/>
          <w:spacing w:val="-3"/>
          <w:sz w:val="20"/>
          <w:szCs w:val="20"/>
          <w:lang w:val="es-ES"/>
        </w:rPr>
        <w:t xml:space="preserve">YPF S.A. Y </w:t>
      </w:r>
      <w:r w:rsidR="006E4BFA">
        <w:rPr>
          <w:rFonts w:ascii="Arial" w:hAnsi="Arial"/>
          <w:spacing w:val="-3"/>
          <w:sz w:val="20"/>
          <w:szCs w:val="20"/>
          <w:lang w:val="es-ES"/>
        </w:rPr>
        <w:t>COMPAÑÍA</w:t>
      </w:r>
      <w:r w:rsidRPr="002B1FB7">
        <w:rPr>
          <w:rFonts w:ascii="Arial" w:hAnsi="Arial"/>
          <w:spacing w:val="-3"/>
          <w:sz w:val="20"/>
          <w:szCs w:val="20"/>
          <w:lang w:val="es-ES"/>
        </w:rPr>
        <w:t xml:space="preserve">S CONTROLADAS </w:t>
      </w:r>
    </w:p>
    <w:p w14:paraId="47388E38" w14:textId="226AECB2" w:rsidR="00773B42" w:rsidRPr="00364FA5" w:rsidRDefault="00B70A91" w:rsidP="00364FA5">
      <w:pPr>
        <w:jc w:val="center"/>
        <w:rPr>
          <w:rFonts w:cs="Arial"/>
          <w:spacing w:val="-3"/>
          <w:szCs w:val="18"/>
          <w:lang w:val="es-ES"/>
        </w:rPr>
      </w:pPr>
      <w:r w:rsidRPr="00364FA5">
        <w:rPr>
          <w:rFonts w:ascii="Arial" w:eastAsia="Times New Roman" w:hAnsi="Arial" w:cs="Arial"/>
          <w:spacing w:val="-3"/>
          <w:sz w:val="18"/>
          <w:szCs w:val="18"/>
          <w:lang w:val="es-ES"/>
        </w:rPr>
        <w:t>(</w:t>
      </w:r>
      <w:r w:rsidR="00CF461B" w:rsidRPr="00364FA5">
        <w:rPr>
          <w:rFonts w:ascii="Arial" w:eastAsia="Times New Roman" w:hAnsi="Arial" w:cs="Arial"/>
          <w:spacing w:val="-3"/>
          <w:sz w:val="18"/>
          <w:szCs w:val="18"/>
          <w:lang w:val="es-ES"/>
        </w:rPr>
        <w:t>Cifras</w:t>
      </w:r>
      <w:r w:rsidRPr="00364FA5">
        <w:rPr>
          <w:rFonts w:ascii="Arial" w:eastAsia="Times New Roman" w:hAnsi="Arial" w:cs="Arial"/>
          <w:spacing w:val="-3"/>
          <w:sz w:val="18"/>
          <w:szCs w:val="18"/>
          <w:lang w:val="es-ES"/>
        </w:rPr>
        <w:t xml:space="preserve"> </w:t>
      </w:r>
      <w:r w:rsidR="0085243E" w:rsidRPr="00364FA5">
        <w:rPr>
          <w:rFonts w:ascii="Arial" w:eastAsia="Times New Roman" w:hAnsi="Arial" w:cs="Arial"/>
          <w:spacing w:val="-3"/>
          <w:sz w:val="18"/>
          <w:szCs w:val="18"/>
          <w:lang w:val="es-ES"/>
        </w:rPr>
        <w:t xml:space="preserve">no auditadas </w:t>
      </w:r>
      <w:r w:rsidRPr="00364FA5">
        <w:rPr>
          <w:rFonts w:ascii="Arial" w:eastAsia="Times New Roman" w:hAnsi="Arial" w:cs="Arial"/>
          <w:spacing w:val="-3"/>
          <w:sz w:val="18"/>
          <w:szCs w:val="18"/>
          <w:lang w:val="es-ES"/>
        </w:rPr>
        <w:t>expresadas en millones de pesos</w:t>
      </w:r>
      <w:r w:rsidR="00254FAB" w:rsidRPr="00364FA5">
        <w:rPr>
          <w:rFonts w:ascii="Arial" w:eastAsia="Times New Roman" w:hAnsi="Arial" w:cs="Arial"/>
          <w:spacing w:val="-3"/>
          <w:sz w:val="18"/>
          <w:szCs w:val="18"/>
          <w:lang w:val="es-ES"/>
        </w:rPr>
        <w:t>)</w:t>
      </w:r>
    </w:p>
    <w:p w14:paraId="0C8DF8D8" w14:textId="27EB89BB" w:rsidR="007F43F6" w:rsidRDefault="00F00B7C" w:rsidP="00FB244C">
      <w:pPr>
        <w:spacing w:after="0" w:line="240" w:lineRule="auto"/>
        <w:jc w:val="center"/>
        <w:rPr>
          <w:rFonts w:ascii="Arial" w:hAnsi="Arial"/>
          <w:spacing w:val="-3"/>
          <w:sz w:val="20"/>
          <w:szCs w:val="20"/>
          <w:lang w:val="es-ES"/>
        </w:rPr>
      </w:pPr>
      <w:r w:rsidRPr="00F00B7C">
        <w:rPr>
          <w:rFonts w:ascii="Arial" w:hAnsi="Arial"/>
          <w:spacing w:val="-3"/>
          <w:sz w:val="20"/>
          <w:szCs w:val="20"/>
          <w:lang w:val="es-ES"/>
        </w:rPr>
        <w:t xml:space="preserve"> </w:t>
      </w:r>
      <w:r w:rsidRPr="00F00B7C">
        <w:rPr>
          <w:noProof/>
        </w:rPr>
        <w:drawing>
          <wp:inline distT="0" distB="0" distL="0" distR="0" wp14:anchorId="61CA785C" wp14:editId="754C4A91">
            <wp:extent cx="4860000" cy="6968109"/>
            <wp:effectExtent l="0" t="0" r="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60000" cy="6968109"/>
                    </a:xfrm>
                    <a:prstGeom prst="rect">
                      <a:avLst/>
                    </a:prstGeom>
                    <a:noFill/>
                    <a:ln>
                      <a:noFill/>
                    </a:ln>
                  </pic:spPr>
                </pic:pic>
              </a:graphicData>
            </a:graphic>
          </wp:inline>
        </w:drawing>
      </w:r>
    </w:p>
    <w:p w14:paraId="5FB4CDBD" w14:textId="77777777" w:rsidR="00167B75" w:rsidRPr="00167B75" w:rsidRDefault="00167B75">
      <w:pPr>
        <w:spacing w:after="0" w:line="240" w:lineRule="auto"/>
        <w:jc w:val="center"/>
        <w:rPr>
          <w:rStyle w:val="Emphasis"/>
          <w:rFonts w:ascii="Arial" w:hAnsi="Arial"/>
          <w:i w:val="0"/>
          <w:iCs w:val="0"/>
          <w:spacing w:val="-3"/>
          <w:sz w:val="20"/>
          <w:szCs w:val="20"/>
          <w:lang w:val="es-ES"/>
        </w:rPr>
      </w:pPr>
    </w:p>
    <w:p w14:paraId="3645ABDE" w14:textId="77777777" w:rsidR="00FC5BE9" w:rsidRPr="00167B75" w:rsidRDefault="001A66C1">
      <w:pPr>
        <w:spacing w:after="0" w:line="240" w:lineRule="auto"/>
        <w:jc w:val="center"/>
        <w:rPr>
          <w:rStyle w:val="Emphasis"/>
          <w:rFonts w:ascii="Arial" w:eastAsia="Times New Roman" w:hAnsi="Arial" w:cs="Arial"/>
          <w:i w:val="0"/>
          <w:iCs w:val="0"/>
          <w:sz w:val="16"/>
          <w:szCs w:val="16"/>
          <w:lang w:val="es-AR" w:eastAsia="es-AR"/>
        </w:rPr>
      </w:pPr>
      <w:r>
        <w:rPr>
          <w:rFonts w:ascii="Arial" w:eastAsia="Times New Roman" w:hAnsi="Arial" w:cs="Arial"/>
          <w:sz w:val="16"/>
          <w:szCs w:val="16"/>
          <w:lang w:val="es-AR" w:eastAsia="es-AR"/>
        </w:rPr>
        <w:t xml:space="preserve">Nota: </w:t>
      </w:r>
      <w:r w:rsidRPr="00FB4E5C">
        <w:rPr>
          <w:rFonts w:ascii="Arial" w:eastAsia="Times New Roman" w:hAnsi="Arial" w:cs="Arial"/>
          <w:sz w:val="16"/>
          <w:szCs w:val="16"/>
          <w:lang w:val="es-AR" w:eastAsia="es-AR"/>
        </w:rPr>
        <w:t>Datos según Normas Internacionales de Información Financiera (NIIF)</w:t>
      </w:r>
      <w:r>
        <w:rPr>
          <w:rFonts w:ascii="Arial" w:eastAsia="Times New Roman" w:hAnsi="Arial" w:cs="Arial"/>
          <w:sz w:val="16"/>
          <w:szCs w:val="16"/>
          <w:lang w:val="es-AR" w:eastAsia="es-AR"/>
        </w:rPr>
        <w:t>.</w:t>
      </w:r>
    </w:p>
    <w:p w14:paraId="4B34B429" w14:textId="77777777" w:rsidR="00DC688F" w:rsidRDefault="00365DBA" w:rsidP="00DC688F">
      <w:pPr>
        <w:pStyle w:val="Heading2"/>
        <w:jc w:val="center"/>
        <w:rPr>
          <w:spacing w:val="-3"/>
          <w:lang w:val="es-ES"/>
        </w:rPr>
      </w:pPr>
      <w:r w:rsidRPr="00DC688F">
        <w:rPr>
          <w:iCs/>
          <w:spacing w:val="-3"/>
          <w:lang w:val="es-ES"/>
        </w:rPr>
        <w:lastRenderedPageBreak/>
        <w:t>5</w:t>
      </w:r>
      <w:r w:rsidR="00CA0E05" w:rsidRPr="00DC688F">
        <w:rPr>
          <w:iCs/>
          <w:spacing w:val="-3"/>
          <w:lang w:val="es-ES"/>
        </w:rPr>
        <w:t xml:space="preserve">.4 </w:t>
      </w:r>
      <w:r w:rsidR="00CA0E05" w:rsidRPr="00DC688F">
        <w:rPr>
          <w:spacing w:val="-3"/>
          <w:lang w:val="es-ES"/>
        </w:rPr>
        <w:t xml:space="preserve">INFORMACIÓN CONSOLIDADA SOBRE SEGMENTOS DE NEGOCIO </w:t>
      </w:r>
    </w:p>
    <w:p w14:paraId="75942714" w14:textId="7768BDFF" w:rsidR="00FC5BE9" w:rsidRPr="00364FA5" w:rsidRDefault="00CA0E05" w:rsidP="00DC688F">
      <w:pPr>
        <w:pStyle w:val="Heading2"/>
        <w:jc w:val="center"/>
        <w:rPr>
          <w:b w:val="0"/>
          <w:spacing w:val="-3"/>
          <w:sz w:val="18"/>
          <w:lang w:val="es-ES"/>
        </w:rPr>
      </w:pPr>
      <w:r w:rsidRPr="00DC688F">
        <w:rPr>
          <w:b w:val="0"/>
          <w:spacing w:val="-3"/>
          <w:lang w:val="es-ES"/>
        </w:rPr>
        <w:t xml:space="preserve">YPF S.A. Y </w:t>
      </w:r>
      <w:r w:rsidR="006E4BFA" w:rsidRPr="00DC688F">
        <w:rPr>
          <w:b w:val="0"/>
          <w:spacing w:val="-3"/>
          <w:lang w:val="es-ES"/>
        </w:rPr>
        <w:t>COMPAÑÍA</w:t>
      </w:r>
      <w:r w:rsidRPr="00DC688F">
        <w:rPr>
          <w:b w:val="0"/>
          <w:spacing w:val="-3"/>
          <w:lang w:val="es-ES"/>
        </w:rPr>
        <w:t>S CONTROLADAS</w:t>
      </w:r>
      <w:r w:rsidRPr="00DC688F">
        <w:rPr>
          <w:b w:val="0"/>
          <w:spacing w:val="-3"/>
          <w:lang w:val="es-ES"/>
        </w:rPr>
        <w:br/>
      </w:r>
      <w:r w:rsidRPr="00364FA5">
        <w:rPr>
          <w:b w:val="0"/>
          <w:spacing w:val="-3"/>
          <w:sz w:val="18"/>
          <w:lang w:val="es-ES"/>
        </w:rPr>
        <w:t xml:space="preserve">(Cifras </w:t>
      </w:r>
      <w:r w:rsidR="0085243E" w:rsidRPr="00364FA5">
        <w:rPr>
          <w:b w:val="0"/>
          <w:spacing w:val="-3"/>
          <w:sz w:val="18"/>
          <w:lang w:val="es-ES"/>
        </w:rPr>
        <w:t xml:space="preserve">no auditadas </w:t>
      </w:r>
      <w:r w:rsidRPr="00364FA5">
        <w:rPr>
          <w:b w:val="0"/>
          <w:spacing w:val="-3"/>
          <w:sz w:val="18"/>
          <w:lang w:val="es-ES"/>
        </w:rPr>
        <w:t>expresadas en millones de pesos)</w:t>
      </w:r>
    </w:p>
    <w:p w14:paraId="084DE5C3" w14:textId="77777777" w:rsidR="006C20E9" w:rsidRPr="007137F0" w:rsidRDefault="006C20E9" w:rsidP="007137F0">
      <w:pPr>
        <w:pStyle w:val="Heading2"/>
        <w:rPr>
          <w:rFonts w:cs="Arial"/>
          <w:spacing w:val="-3"/>
          <w:sz w:val="14"/>
          <w:szCs w:val="14"/>
          <w:lang w:val="es-AR"/>
        </w:rPr>
      </w:pPr>
    </w:p>
    <w:p w14:paraId="182E6EA4" w14:textId="6518A7FC" w:rsidR="00310B07" w:rsidRDefault="00196AE0" w:rsidP="007137F0">
      <w:pPr>
        <w:pStyle w:val="Heading2"/>
        <w:rPr>
          <w:rStyle w:val="Emphasis"/>
          <w:rFonts w:ascii="Calibri" w:eastAsia="Calibri" w:hAnsi="Calibri"/>
          <w:b w:val="0"/>
          <w:sz w:val="22"/>
          <w:szCs w:val="22"/>
          <w:lang w:val="es-AR"/>
        </w:rPr>
      </w:pPr>
      <w:r w:rsidRPr="00196AE0">
        <w:rPr>
          <w:rStyle w:val="Emphasis"/>
          <w:i w:val="0"/>
          <w:iCs w:val="0"/>
          <w:lang w:val="es-AR"/>
        </w:rPr>
        <w:t xml:space="preserve"> </w:t>
      </w:r>
      <w:r w:rsidRPr="00196AE0">
        <w:rPr>
          <w:rStyle w:val="Emphasis"/>
          <w:rFonts w:eastAsia="Calibri"/>
          <w:i w:val="0"/>
          <w:iCs w:val="0"/>
          <w:noProof/>
        </w:rPr>
        <w:drawing>
          <wp:inline distT="0" distB="0" distL="0" distR="0" wp14:anchorId="7FF94B51" wp14:editId="539BA90B">
            <wp:extent cx="6570980" cy="3475318"/>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70980" cy="3475318"/>
                    </a:xfrm>
                    <a:prstGeom prst="rect">
                      <a:avLst/>
                    </a:prstGeom>
                    <a:noFill/>
                    <a:ln>
                      <a:noFill/>
                    </a:ln>
                  </pic:spPr>
                </pic:pic>
              </a:graphicData>
            </a:graphic>
          </wp:inline>
        </w:drawing>
      </w:r>
    </w:p>
    <w:p w14:paraId="19C9912B" w14:textId="0E8D7220" w:rsidR="0085243E" w:rsidRPr="00FF6179" w:rsidRDefault="00CA0E05" w:rsidP="00FF6179">
      <w:pPr>
        <w:pStyle w:val="Heading2"/>
        <w:jc w:val="center"/>
        <w:rPr>
          <w:rStyle w:val="Emphasis"/>
          <w:i w:val="0"/>
          <w:lang w:val="es-AR"/>
        </w:rPr>
      </w:pPr>
      <w:r>
        <w:rPr>
          <w:rStyle w:val="Emphasis"/>
          <w:lang w:val="es-AR"/>
        </w:rPr>
        <w:br w:type="page"/>
      </w:r>
      <w:r w:rsidRPr="00FF6179">
        <w:rPr>
          <w:rStyle w:val="Emphasis"/>
          <w:i w:val="0"/>
          <w:lang w:val="es-AR"/>
        </w:rPr>
        <w:lastRenderedPageBreak/>
        <w:t>5.5 PRINCIPALES MAGNITUDES FINANCIERAS EXPRESADAS EN D</w:t>
      </w:r>
      <w:r w:rsidR="00557FE6" w:rsidRPr="00FF6179">
        <w:rPr>
          <w:rStyle w:val="Emphasis"/>
          <w:i w:val="0"/>
          <w:lang w:val="es-AR"/>
        </w:rPr>
        <w:t>Ó</w:t>
      </w:r>
      <w:r w:rsidRPr="00FF6179">
        <w:rPr>
          <w:rStyle w:val="Emphasis"/>
          <w:i w:val="0"/>
          <w:lang w:val="es-AR"/>
        </w:rPr>
        <w:t xml:space="preserve">LARES ESTADOUNIDENSES </w:t>
      </w:r>
    </w:p>
    <w:p w14:paraId="72B668E1" w14:textId="6A791532" w:rsidR="005930B6" w:rsidRPr="00364FA5" w:rsidRDefault="0085243E" w:rsidP="00FF6179">
      <w:pPr>
        <w:pStyle w:val="Heading2"/>
        <w:jc w:val="center"/>
        <w:rPr>
          <w:rStyle w:val="Emphasis"/>
          <w:b w:val="0"/>
          <w:i w:val="0"/>
          <w:sz w:val="18"/>
          <w:lang w:val="es-AR"/>
        </w:rPr>
      </w:pPr>
      <w:r w:rsidRPr="00364FA5">
        <w:rPr>
          <w:rStyle w:val="Emphasis"/>
          <w:b w:val="0"/>
          <w:i w:val="0"/>
          <w:sz w:val="18"/>
          <w:lang w:val="es-AR"/>
        </w:rPr>
        <w:t>(Cifras no auditadas)</w:t>
      </w:r>
    </w:p>
    <w:p w14:paraId="422F013F" w14:textId="77777777" w:rsidR="005930B6" w:rsidRPr="007137F0" w:rsidRDefault="005930B6" w:rsidP="007137F0">
      <w:pPr>
        <w:pStyle w:val="Heading2"/>
        <w:rPr>
          <w:rFonts w:cs="Arial"/>
          <w:spacing w:val="-3"/>
          <w:sz w:val="14"/>
          <w:szCs w:val="14"/>
          <w:lang w:val="es-AR"/>
        </w:rPr>
      </w:pPr>
    </w:p>
    <w:p w14:paraId="685CE977" w14:textId="3EB0572C" w:rsidR="003C3391" w:rsidRDefault="00F74A7B" w:rsidP="007137F0">
      <w:pPr>
        <w:pStyle w:val="Heading2"/>
        <w:rPr>
          <w:rStyle w:val="Emphasis"/>
          <w:rFonts w:ascii="Calibri" w:eastAsia="Calibri" w:hAnsi="Calibri"/>
          <w:b w:val="0"/>
          <w:iCs w:val="0"/>
          <w:sz w:val="14"/>
          <w:szCs w:val="14"/>
          <w:lang w:val="es-AR"/>
        </w:rPr>
      </w:pPr>
      <w:r w:rsidRPr="00F74A7B">
        <w:rPr>
          <w:rStyle w:val="Emphasis"/>
          <w:i w:val="0"/>
          <w:sz w:val="14"/>
          <w:szCs w:val="14"/>
          <w:lang w:val="es-AR"/>
        </w:rPr>
        <w:t xml:space="preserve"> </w:t>
      </w:r>
      <w:r w:rsidR="006F07A3" w:rsidRPr="006F07A3">
        <w:rPr>
          <w:rStyle w:val="Emphasis"/>
          <w:i w:val="0"/>
          <w:iCs w:val="0"/>
          <w:noProof/>
        </w:rPr>
        <w:drawing>
          <wp:inline distT="0" distB="0" distL="0" distR="0" wp14:anchorId="6AE4F303" wp14:editId="49144C67">
            <wp:extent cx="6570980" cy="5789379"/>
            <wp:effectExtent l="0" t="0" r="1270" b="190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70980" cy="5789379"/>
                    </a:xfrm>
                    <a:prstGeom prst="rect">
                      <a:avLst/>
                    </a:prstGeom>
                    <a:noFill/>
                    <a:ln>
                      <a:noFill/>
                    </a:ln>
                  </pic:spPr>
                </pic:pic>
              </a:graphicData>
            </a:graphic>
          </wp:inline>
        </w:drawing>
      </w:r>
      <w:r w:rsidR="000643B8" w:rsidRPr="000643B8">
        <w:rPr>
          <w:rStyle w:val="Emphasis"/>
          <w:b w:val="0"/>
          <w:iCs w:val="0"/>
          <w:sz w:val="14"/>
          <w:szCs w:val="14"/>
          <w:lang w:val="es-AR"/>
        </w:rPr>
        <w:t xml:space="preserve"> </w:t>
      </w:r>
    </w:p>
    <w:p w14:paraId="2205451F" w14:textId="4FCFCE70" w:rsidR="000B0127" w:rsidRDefault="00CA0E05" w:rsidP="00E44495">
      <w:pPr>
        <w:autoSpaceDE w:val="0"/>
        <w:autoSpaceDN w:val="0"/>
        <w:spacing w:before="40" w:after="40" w:line="240" w:lineRule="auto"/>
        <w:jc w:val="both"/>
        <w:rPr>
          <w:rFonts w:ascii="Arial" w:hAnsi="Arial" w:cs="Arial"/>
          <w:color w:val="000000"/>
          <w:sz w:val="16"/>
          <w:szCs w:val="16"/>
          <w:lang w:val="es-AR"/>
        </w:rPr>
      </w:pPr>
      <w:r>
        <w:rPr>
          <w:rFonts w:cs="Arial"/>
          <w:lang w:val="es-AR"/>
        </w:rPr>
        <w:br/>
      </w:r>
      <w:r w:rsidR="000B0127" w:rsidRPr="00E44495">
        <w:rPr>
          <w:rFonts w:ascii="Arial" w:hAnsi="Arial" w:cs="Arial"/>
          <w:bCs/>
          <w:sz w:val="16"/>
          <w:szCs w:val="16"/>
          <w:lang w:val="es-AR"/>
        </w:rPr>
        <w:t xml:space="preserve">NOTA: Para </w:t>
      </w:r>
      <w:r w:rsidR="003D509B" w:rsidRPr="00E44495">
        <w:rPr>
          <w:rFonts w:ascii="Arial" w:hAnsi="Arial" w:cs="Arial"/>
          <w:bCs/>
          <w:sz w:val="16"/>
          <w:szCs w:val="16"/>
          <w:lang w:val="es-AR"/>
        </w:rPr>
        <w:t xml:space="preserve">el segundo trimestre </w:t>
      </w:r>
      <w:r w:rsidR="000B0127" w:rsidRPr="00E44495">
        <w:rPr>
          <w:rFonts w:ascii="Arial" w:hAnsi="Arial" w:cs="Arial"/>
          <w:bCs/>
          <w:sz w:val="16"/>
          <w:szCs w:val="16"/>
          <w:lang w:val="es-AR"/>
        </w:rPr>
        <w:t xml:space="preserve">del 2018, el cálculo de las magnitudes financieras expresadas en dólares estadounidenses surge del cálculo de los resultados consolidados expresados en pesos argentinos dividido el tipo de cambio promedio de </w:t>
      </w:r>
      <w:r w:rsidR="003D509B" w:rsidRPr="00E44495">
        <w:rPr>
          <w:rFonts w:ascii="Arial" w:hAnsi="Arial" w:cs="Arial"/>
          <w:bCs/>
          <w:sz w:val="16"/>
          <w:szCs w:val="16"/>
          <w:lang w:val="es-AR"/>
        </w:rPr>
        <w:t>este</w:t>
      </w:r>
      <w:r w:rsidR="000B0127" w:rsidRPr="00E44495">
        <w:rPr>
          <w:rFonts w:ascii="Arial" w:hAnsi="Arial" w:cs="Arial"/>
          <w:bCs/>
          <w:sz w:val="16"/>
          <w:szCs w:val="16"/>
          <w:lang w:val="es-AR"/>
        </w:rPr>
        <w:t xml:space="preserve"> período. Para </w:t>
      </w:r>
      <w:r w:rsidR="003D509B" w:rsidRPr="00E44495">
        <w:rPr>
          <w:rFonts w:ascii="Arial" w:hAnsi="Arial" w:cs="Arial"/>
          <w:bCs/>
          <w:sz w:val="16"/>
          <w:szCs w:val="16"/>
          <w:lang w:val="es-AR"/>
        </w:rPr>
        <w:t>los período</w:t>
      </w:r>
      <w:r w:rsidR="003D509B" w:rsidRPr="00E44495">
        <w:rPr>
          <w:rFonts w:ascii="Arial" w:hAnsi="Arial" w:cs="Arial"/>
          <w:color w:val="000000"/>
          <w:sz w:val="16"/>
          <w:szCs w:val="16"/>
          <w:lang w:val="es-AR"/>
        </w:rPr>
        <w:t>s</w:t>
      </w:r>
      <w:r w:rsidR="003D509B" w:rsidRPr="00E44495">
        <w:rPr>
          <w:rFonts w:ascii="Arial" w:hAnsi="Arial" w:cs="Arial"/>
          <w:bCs/>
          <w:sz w:val="16"/>
          <w:szCs w:val="16"/>
          <w:lang w:val="es-AR"/>
        </w:rPr>
        <w:t xml:space="preserve"> del primer trimestre y segundo </w:t>
      </w:r>
      <w:r w:rsidR="000B0127" w:rsidRPr="00E44495">
        <w:rPr>
          <w:rFonts w:ascii="Arial" w:hAnsi="Arial" w:cs="Arial"/>
          <w:bCs/>
          <w:sz w:val="16"/>
          <w:szCs w:val="16"/>
          <w:lang w:val="es-AR"/>
        </w:rPr>
        <w:t>trimestre del 2019, el cálculo de las magnitudes financieras expresadas en dólares estadounidenses surge de la suma de</w:t>
      </w:r>
      <w:r w:rsidR="000B0127" w:rsidRPr="00E44495">
        <w:rPr>
          <w:rFonts w:ascii="Arial" w:hAnsi="Arial" w:cs="Arial"/>
          <w:color w:val="000000"/>
          <w:sz w:val="16"/>
          <w:szCs w:val="16"/>
          <w:lang w:val="es-AR"/>
        </w:rPr>
        <w:t>:</w:t>
      </w:r>
      <w:r w:rsidR="000B0127" w:rsidRPr="00E44495">
        <w:rPr>
          <w:rFonts w:ascii="Arial" w:hAnsi="Arial" w:cs="Arial"/>
          <w:bCs/>
          <w:sz w:val="16"/>
          <w:szCs w:val="16"/>
          <w:lang w:val="es-AR"/>
        </w:rPr>
        <w:t xml:space="preserve"> </w:t>
      </w:r>
      <w:r w:rsidR="00E44495">
        <w:rPr>
          <w:rFonts w:ascii="Arial" w:hAnsi="Arial" w:cs="Arial"/>
          <w:bCs/>
          <w:sz w:val="16"/>
          <w:szCs w:val="16"/>
          <w:lang w:val="es-AR"/>
        </w:rPr>
        <w:t xml:space="preserve">  </w:t>
      </w:r>
      <w:proofErr w:type="gramStart"/>
      <w:r w:rsidR="00E44495">
        <w:rPr>
          <w:rFonts w:ascii="Arial" w:hAnsi="Arial" w:cs="Arial"/>
          <w:bCs/>
          <w:sz w:val="16"/>
          <w:szCs w:val="16"/>
          <w:lang w:val="es-AR"/>
        </w:rPr>
        <w:t xml:space="preserve">   </w:t>
      </w:r>
      <w:r w:rsidR="000B0127" w:rsidRPr="00E44495">
        <w:rPr>
          <w:rFonts w:ascii="Arial" w:hAnsi="Arial" w:cs="Arial"/>
          <w:bCs/>
          <w:sz w:val="16"/>
          <w:szCs w:val="16"/>
          <w:lang w:val="es-AR"/>
        </w:rPr>
        <w:t>(</w:t>
      </w:r>
      <w:proofErr w:type="gramEnd"/>
      <w:r w:rsidR="000B0127" w:rsidRPr="00E44495">
        <w:rPr>
          <w:rFonts w:ascii="Arial" w:hAnsi="Arial" w:cs="Arial"/>
          <w:bCs/>
          <w:sz w:val="16"/>
          <w:szCs w:val="16"/>
          <w:lang w:val="es-AR"/>
        </w:rPr>
        <w:t>1)</w:t>
      </w:r>
      <w:r w:rsidR="000B0127" w:rsidRPr="00E44495">
        <w:rPr>
          <w:rFonts w:ascii="Arial" w:hAnsi="Arial" w:cs="Arial"/>
          <w:color w:val="000000"/>
          <w:sz w:val="16"/>
          <w:szCs w:val="16"/>
          <w:lang w:val="es-AR"/>
        </w:rPr>
        <w:t xml:space="preserve"> </w:t>
      </w:r>
      <w:r w:rsidR="000B0127" w:rsidRPr="00E44495">
        <w:rPr>
          <w:rFonts w:ascii="Arial" w:hAnsi="Arial" w:cs="Arial"/>
          <w:bCs/>
          <w:sz w:val="16"/>
          <w:szCs w:val="16"/>
          <w:lang w:val="es-AR"/>
        </w:rPr>
        <w:t>los resultados individuales de YPF S.A. expresados en pesos argentinos dividido el tipo de cambio promedio del periodo y (2) los resultados de las compañías subsidiarias expresados en pesos argentinos dividido el tipo de cambio de cierre.</w:t>
      </w:r>
      <w:r w:rsidR="000B0127" w:rsidRPr="00FF6179">
        <w:rPr>
          <w:rFonts w:ascii="Arial" w:hAnsi="Arial" w:cs="Arial"/>
          <w:color w:val="000000"/>
          <w:sz w:val="16"/>
          <w:szCs w:val="16"/>
          <w:lang w:val="es-AR"/>
        </w:rPr>
        <w:t xml:space="preserve"> </w:t>
      </w:r>
    </w:p>
    <w:p w14:paraId="21858BFB" w14:textId="77777777" w:rsidR="00487428" w:rsidRPr="00FF6179" w:rsidRDefault="00487428" w:rsidP="000B0127">
      <w:pPr>
        <w:autoSpaceDE w:val="0"/>
        <w:autoSpaceDN w:val="0"/>
        <w:spacing w:before="40" w:after="40" w:line="240" w:lineRule="auto"/>
        <w:rPr>
          <w:rFonts w:ascii="Arial" w:hAnsi="Arial" w:cs="Arial"/>
          <w:sz w:val="16"/>
          <w:szCs w:val="16"/>
          <w:lang w:val="es-AR" w:eastAsia="es-AR"/>
        </w:rPr>
      </w:pPr>
    </w:p>
    <w:p w14:paraId="6F026155" w14:textId="77777777" w:rsidR="00807E56" w:rsidRDefault="00807E56" w:rsidP="00FF6179">
      <w:pPr>
        <w:pStyle w:val="Heading2"/>
        <w:jc w:val="center"/>
        <w:rPr>
          <w:rStyle w:val="Emphasis"/>
          <w:i w:val="0"/>
          <w:lang w:val="es-AR"/>
        </w:rPr>
      </w:pPr>
      <w:bookmarkStart w:id="95" w:name="_Toc331003955"/>
    </w:p>
    <w:p w14:paraId="10549A0D" w14:textId="643577A6" w:rsidR="00807E56" w:rsidRDefault="00807E56" w:rsidP="00FF6179">
      <w:pPr>
        <w:pStyle w:val="Heading2"/>
        <w:jc w:val="center"/>
        <w:rPr>
          <w:rStyle w:val="Emphasis"/>
          <w:i w:val="0"/>
          <w:lang w:val="es-AR"/>
        </w:rPr>
      </w:pPr>
    </w:p>
    <w:p w14:paraId="39FB7C05" w14:textId="1E4A5887" w:rsidR="00807E56" w:rsidRDefault="00807E56" w:rsidP="00FF6179">
      <w:pPr>
        <w:pStyle w:val="Heading2"/>
        <w:jc w:val="center"/>
        <w:rPr>
          <w:rFonts w:ascii="Calibri" w:eastAsia="Calibri" w:hAnsi="Calibri"/>
          <w:b w:val="0"/>
          <w:sz w:val="22"/>
          <w:szCs w:val="22"/>
          <w:lang w:val="es-AR"/>
        </w:rPr>
      </w:pPr>
    </w:p>
    <w:p w14:paraId="253301CB" w14:textId="2D48E56B" w:rsidR="00807E56" w:rsidRDefault="00807E56" w:rsidP="00807E56">
      <w:pPr>
        <w:rPr>
          <w:lang w:val="es-AR"/>
        </w:rPr>
      </w:pPr>
    </w:p>
    <w:p w14:paraId="60960506" w14:textId="77777777" w:rsidR="00717EFE" w:rsidRPr="00807E56" w:rsidRDefault="00717EFE" w:rsidP="00807E56">
      <w:pPr>
        <w:rPr>
          <w:lang w:val="es-AR"/>
        </w:rPr>
      </w:pPr>
    </w:p>
    <w:p w14:paraId="7A74FE1B" w14:textId="643AF0A2" w:rsidR="00310B07" w:rsidRPr="00C84321" w:rsidRDefault="00BF34A4" w:rsidP="00FF6179">
      <w:pPr>
        <w:pStyle w:val="Heading2"/>
        <w:jc w:val="center"/>
        <w:rPr>
          <w:rStyle w:val="Emphasis"/>
          <w:i w:val="0"/>
          <w:lang w:val="es-AR"/>
        </w:rPr>
      </w:pPr>
      <w:r w:rsidRPr="00FF6179">
        <w:rPr>
          <w:rStyle w:val="Emphasis"/>
          <w:i w:val="0"/>
          <w:lang w:val="es-AR"/>
        </w:rPr>
        <w:lastRenderedPageBreak/>
        <w:t>5</w:t>
      </w:r>
      <w:r w:rsidR="00FF585D" w:rsidRPr="00FF585D">
        <w:rPr>
          <w:rStyle w:val="Emphasis"/>
          <w:i w:val="0"/>
          <w:lang w:val="es-AR"/>
        </w:rPr>
        <w:t>.</w:t>
      </w:r>
      <w:r>
        <w:rPr>
          <w:rStyle w:val="Emphasis"/>
          <w:i w:val="0"/>
          <w:lang w:val="es-AR"/>
        </w:rPr>
        <w:t xml:space="preserve">6 </w:t>
      </w:r>
      <w:r w:rsidR="00EE189B" w:rsidRPr="00C84321">
        <w:rPr>
          <w:rStyle w:val="Emphasis"/>
          <w:i w:val="0"/>
          <w:lang w:val="es-AR"/>
        </w:rPr>
        <w:t>PRINCIPALES MAGNITUDES F</w:t>
      </w:r>
      <w:r w:rsidR="00557FE6" w:rsidRPr="00C84321">
        <w:rPr>
          <w:rStyle w:val="Emphasis"/>
          <w:i w:val="0"/>
          <w:lang w:val="es-AR"/>
        </w:rPr>
        <w:t>Í</w:t>
      </w:r>
      <w:r w:rsidR="00EE189B" w:rsidRPr="00C84321">
        <w:rPr>
          <w:rStyle w:val="Emphasis"/>
          <w:i w:val="0"/>
          <w:lang w:val="es-AR"/>
        </w:rPr>
        <w:t>SICAS</w:t>
      </w:r>
      <w:r w:rsidR="006E2D7A" w:rsidRPr="00C84321">
        <w:rPr>
          <w:rStyle w:val="Emphasis"/>
          <w:i w:val="0"/>
          <w:lang w:val="es-AR"/>
        </w:rPr>
        <w:t xml:space="preserve"> </w:t>
      </w:r>
    </w:p>
    <w:p w14:paraId="34989024" w14:textId="77777777" w:rsidR="0085243E" w:rsidRPr="00364FA5" w:rsidRDefault="0085243E" w:rsidP="00FF6179">
      <w:pPr>
        <w:pStyle w:val="Heading2"/>
        <w:jc w:val="center"/>
        <w:rPr>
          <w:rStyle w:val="Emphasis"/>
          <w:b w:val="0"/>
          <w:i w:val="0"/>
          <w:sz w:val="18"/>
          <w:lang w:val="es-AR"/>
        </w:rPr>
      </w:pPr>
      <w:r w:rsidRPr="00364FA5">
        <w:rPr>
          <w:rStyle w:val="Emphasis"/>
          <w:b w:val="0"/>
          <w:i w:val="0"/>
          <w:sz w:val="18"/>
          <w:lang w:val="es-AR"/>
        </w:rPr>
        <w:t>(Cifras no auditadas)</w:t>
      </w:r>
    </w:p>
    <w:p w14:paraId="75454B90" w14:textId="77777777" w:rsidR="00B53188" w:rsidRPr="00B05D9F" w:rsidRDefault="00B53188" w:rsidP="00B05D9F">
      <w:pPr>
        <w:rPr>
          <w:sz w:val="2"/>
          <w:szCs w:val="12"/>
          <w:lang w:val="es-AR"/>
        </w:rPr>
      </w:pPr>
    </w:p>
    <w:p w14:paraId="7E70D9F5" w14:textId="34CC236F" w:rsidR="00FC5BE9" w:rsidRDefault="00807E56" w:rsidP="00807E56">
      <w:pPr>
        <w:tabs>
          <w:tab w:val="left" w:pos="10206"/>
        </w:tabs>
        <w:rPr>
          <w:lang w:val="es-AR"/>
        </w:rPr>
      </w:pPr>
      <w:r w:rsidRPr="00807E56">
        <w:rPr>
          <w:noProof/>
        </w:rPr>
        <w:drawing>
          <wp:inline distT="0" distB="0" distL="0" distR="0" wp14:anchorId="597970F1" wp14:editId="71D99639">
            <wp:extent cx="6570980" cy="7015348"/>
            <wp:effectExtent l="0" t="0" r="127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570980" cy="7015348"/>
                    </a:xfrm>
                    <a:prstGeom prst="rect">
                      <a:avLst/>
                    </a:prstGeom>
                    <a:noFill/>
                    <a:ln>
                      <a:noFill/>
                    </a:ln>
                  </pic:spPr>
                </pic:pic>
              </a:graphicData>
            </a:graphic>
          </wp:inline>
        </w:drawing>
      </w:r>
    </w:p>
    <w:p w14:paraId="4A667594" w14:textId="77777777" w:rsidR="00B3426F" w:rsidRPr="00B3426F" w:rsidRDefault="00CF2759" w:rsidP="00BB2832">
      <w:pPr>
        <w:pStyle w:val="Heading2"/>
        <w:jc w:val="center"/>
        <w:rPr>
          <w:rStyle w:val="Emphasis"/>
          <w:rFonts w:cs="Arial"/>
          <w:b w:val="0"/>
          <w:i w:val="0"/>
          <w:iCs w:val="0"/>
          <w:sz w:val="16"/>
          <w:szCs w:val="16"/>
          <w:lang w:val="es-AR" w:eastAsia="es-AR"/>
        </w:rPr>
      </w:pPr>
      <w:r w:rsidRPr="00FC5BE9" w:rsidDel="00CF2759">
        <w:rPr>
          <w:lang w:val="es-AR"/>
        </w:rPr>
        <w:t xml:space="preserve"> </w:t>
      </w:r>
      <w:bookmarkEnd w:id="95"/>
      <w:r w:rsidR="00310B07" w:rsidRPr="009E41A9">
        <w:rPr>
          <w:rFonts w:cs="Arial"/>
          <w:b w:val="0"/>
          <w:sz w:val="16"/>
          <w:szCs w:val="16"/>
          <w:lang w:val="es-AR" w:eastAsia="es-AR"/>
        </w:rPr>
        <w:t>(*) Incluye principalmente ventas de aceites y bases lubricantes, grasas, asfaltos y carbón residual, entre otros.</w:t>
      </w:r>
    </w:p>
    <w:p w14:paraId="148C02AE" w14:textId="0C858797" w:rsidR="00CA0E05" w:rsidRPr="00934576" w:rsidRDefault="002206B0" w:rsidP="00934576">
      <w:pPr>
        <w:autoSpaceDE w:val="0"/>
        <w:autoSpaceDN w:val="0"/>
        <w:adjustRightInd w:val="0"/>
        <w:spacing w:after="0" w:line="264" w:lineRule="auto"/>
        <w:jc w:val="both"/>
        <w:rPr>
          <w:rFonts w:ascii="Arial" w:hAnsi="Arial"/>
          <w:i/>
          <w:iCs/>
          <w:color w:val="365F91"/>
          <w:sz w:val="20"/>
          <w:lang w:val="es-AR"/>
        </w:rPr>
      </w:pPr>
      <w:r>
        <w:rPr>
          <w:rStyle w:val="Emphasis"/>
          <w:rFonts w:ascii="Arial" w:hAnsi="Arial"/>
          <w:color w:val="365F91"/>
          <w:sz w:val="20"/>
          <w:lang w:val="es-AR"/>
        </w:rPr>
        <w:br w:type="page"/>
      </w:r>
      <w:r w:rsidR="007110CC" w:rsidRPr="00934576">
        <w:rPr>
          <w:rFonts w:ascii="Arial" w:hAnsi="Arial"/>
          <w:iCs/>
          <w:sz w:val="18"/>
          <w:lang w:val="es-AR"/>
        </w:rPr>
        <w:lastRenderedPageBreak/>
        <w:t>E</w:t>
      </w:r>
      <w:r w:rsidR="00CA0E05" w:rsidRPr="00934576">
        <w:rPr>
          <w:rFonts w:ascii="Arial" w:hAnsi="Arial"/>
          <w:iCs/>
          <w:sz w:val="18"/>
          <w:lang w:val="es-AR"/>
        </w:rPr>
        <w:t>ste documento contiene ciertas afirmaciones que YPF considera constituyen estimaciones sobre las perspectivas de la compañía (“forward-</w:t>
      </w:r>
      <w:proofErr w:type="spellStart"/>
      <w:r w:rsidR="00CA0E05" w:rsidRPr="00934576">
        <w:rPr>
          <w:rFonts w:ascii="Arial" w:hAnsi="Arial"/>
          <w:iCs/>
          <w:sz w:val="18"/>
          <w:lang w:val="es-AR"/>
        </w:rPr>
        <w:t>looking</w:t>
      </w:r>
      <w:proofErr w:type="spellEnd"/>
      <w:r w:rsidR="00CA0E05" w:rsidRPr="00934576">
        <w:rPr>
          <w:rFonts w:ascii="Arial" w:hAnsi="Arial"/>
          <w:iCs/>
          <w:sz w:val="18"/>
          <w:lang w:val="es-AR"/>
        </w:rPr>
        <w:t xml:space="preserve"> </w:t>
      </w:r>
      <w:proofErr w:type="spellStart"/>
      <w:r w:rsidR="00CA0E05" w:rsidRPr="00934576">
        <w:rPr>
          <w:rFonts w:ascii="Arial" w:hAnsi="Arial"/>
          <w:iCs/>
          <w:sz w:val="18"/>
          <w:lang w:val="es-AR"/>
        </w:rPr>
        <w:t>statements</w:t>
      </w:r>
      <w:proofErr w:type="spellEnd"/>
      <w:r w:rsidR="00CA0E05" w:rsidRPr="00934576">
        <w:rPr>
          <w:rFonts w:ascii="Arial" w:hAnsi="Arial"/>
          <w:iCs/>
          <w:sz w:val="18"/>
          <w:lang w:val="es-AR"/>
        </w:rPr>
        <w:t>”) tal como se definen en la Ley de Reforma de Litigios Privados de 1995 (“</w:t>
      </w:r>
      <w:proofErr w:type="spellStart"/>
      <w:r w:rsidR="00CA0E05" w:rsidRPr="00934576">
        <w:rPr>
          <w:rFonts w:ascii="Arial" w:hAnsi="Arial"/>
          <w:iCs/>
          <w:sz w:val="18"/>
          <w:lang w:val="es-AR"/>
        </w:rPr>
        <w:t>Private</w:t>
      </w:r>
      <w:proofErr w:type="spellEnd"/>
      <w:r w:rsidR="00CA0E05" w:rsidRPr="00934576">
        <w:rPr>
          <w:rFonts w:ascii="Arial" w:hAnsi="Arial"/>
          <w:iCs/>
          <w:sz w:val="18"/>
          <w:lang w:val="es-AR"/>
        </w:rPr>
        <w:t xml:space="preserve"> </w:t>
      </w:r>
      <w:proofErr w:type="spellStart"/>
      <w:r w:rsidR="00CA0E05" w:rsidRPr="00934576">
        <w:rPr>
          <w:rFonts w:ascii="Arial" w:hAnsi="Arial"/>
          <w:iCs/>
          <w:sz w:val="18"/>
          <w:lang w:val="es-AR"/>
        </w:rPr>
        <w:t>Securities</w:t>
      </w:r>
      <w:proofErr w:type="spellEnd"/>
      <w:r w:rsidR="00CA0E05" w:rsidRPr="00934576">
        <w:rPr>
          <w:rFonts w:ascii="Arial" w:hAnsi="Arial"/>
          <w:iCs/>
          <w:sz w:val="18"/>
          <w:lang w:val="es-AR"/>
        </w:rPr>
        <w:t xml:space="preserve"> </w:t>
      </w:r>
      <w:proofErr w:type="spellStart"/>
      <w:r w:rsidR="00CA0E05" w:rsidRPr="00934576">
        <w:rPr>
          <w:rFonts w:ascii="Arial" w:hAnsi="Arial"/>
          <w:iCs/>
          <w:sz w:val="18"/>
          <w:lang w:val="es-AR"/>
        </w:rPr>
        <w:t>Litigation</w:t>
      </w:r>
      <w:proofErr w:type="spellEnd"/>
      <w:r w:rsidR="00CA0E05" w:rsidRPr="00934576">
        <w:rPr>
          <w:rFonts w:ascii="Arial" w:hAnsi="Arial"/>
          <w:iCs/>
          <w:sz w:val="18"/>
          <w:lang w:val="es-AR"/>
        </w:rPr>
        <w:t xml:space="preserve"> </w:t>
      </w:r>
      <w:proofErr w:type="spellStart"/>
      <w:r w:rsidR="00CA0E05" w:rsidRPr="00934576">
        <w:rPr>
          <w:rFonts w:ascii="Arial" w:hAnsi="Arial"/>
          <w:iCs/>
          <w:sz w:val="18"/>
          <w:lang w:val="es-AR"/>
        </w:rPr>
        <w:t>Reform</w:t>
      </w:r>
      <w:proofErr w:type="spellEnd"/>
      <w:r w:rsidR="00CA0E05" w:rsidRPr="00934576">
        <w:rPr>
          <w:rFonts w:ascii="Arial" w:hAnsi="Arial"/>
          <w:iCs/>
          <w:sz w:val="18"/>
          <w:lang w:val="es-AR"/>
        </w:rPr>
        <w:t xml:space="preserve"> </w:t>
      </w:r>
      <w:proofErr w:type="spellStart"/>
      <w:r w:rsidR="00CA0E05" w:rsidRPr="00934576">
        <w:rPr>
          <w:rFonts w:ascii="Arial" w:hAnsi="Arial"/>
          <w:iCs/>
          <w:sz w:val="18"/>
          <w:lang w:val="es-AR"/>
        </w:rPr>
        <w:t>Act</w:t>
      </w:r>
      <w:proofErr w:type="spellEnd"/>
      <w:r w:rsidR="00CA0E05" w:rsidRPr="00934576">
        <w:rPr>
          <w:rFonts w:ascii="Arial" w:hAnsi="Arial"/>
          <w:iCs/>
          <w:sz w:val="18"/>
          <w:lang w:val="es-AR"/>
        </w:rPr>
        <w:t xml:space="preserve"> </w:t>
      </w:r>
      <w:proofErr w:type="spellStart"/>
      <w:r w:rsidR="00CA0E05" w:rsidRPr="00934576">
        <w:rPr>
          <w:rFonts w:ascii="Arial" w:hAnsi="Arial"/>
          <w:iCs/>
          <w:sz w:val="18"/>
          <w:lang w:val="es-AR"/>
        </w:rPr>
        <w:t>of</w:t>
      </w:r>
      <w:proofErr w:type="spellEnd"/>
      <w:r w:rsidR="00CA0E05" w:rsidRPr="00934576">
        <w:rPr>
          <w:rFonts w:ascii="Arial" w:hAnsi="Arial"/>
          <w:iCs/>
          <w:sz w:val="18"/>
          <w:lang w:val="es-AR"/>
        </w:rPr>
        <w:t xml:space="preserve"> 1995”).</w:t>
      </w:r>
    </w:p>
    <w:p w14:paraId="397B556B" w14:textId="0BFAA725" w:rsidR="00CA0E05" w:rsidRPr="002E0E45" w:rsidRDefault="00CA0E05" w:rsidP="00CA0E05">
      <w:pPr>
        <w:autoSpaceDE w:val="0"/>
        <w:autoSpaceDN w:val="0"/>
        <w:adjustRightInd w:val="0"/>
        <w:spacing w:after="0" w:line="264" w:lineRule="auto"/>
        <w:jc w:val="both"/>
        <w:rPr>
          <w:rFonts w:ascii="Arial" w:hAnsi="Arial"/>
          <w:iCs/>
          <w:sz w:val="18"/>
          <w:lang w:val="es-AR"/>
        </w:rPr>
      </w:pPr>
      <w:r w:rsidRPr="002E0E45">
        <w:rPr>
          <w:rFonts w:ascii="Arial" w:hAnsi="Arial"/>
          <w:iCs/>
          <w:sz w:val="18"/>
          <w:lang w:val="es-AR"/>
        </w:rPr>
        <w:t xml:space="preserve">Dichas afirmaciones pueden incluir declaraciones sobre  las intenciones, creencias, planes, expectativas reinantes u objetivos a la fecha de hoy por parte de YPF y su gerencia, incluyendo estimaciones con respecto a tendencias que afecten la futura situación financiera de YPF, ratios financieros, operativos, de reemplazo de reservas y otros, sus resultados operativos, estrategia de negocio, concentración geográfica y de negocio, volumen de producción, comercialización y reservas, así como con respecto a gastos futuros de capital, inversiones planificados por YPF y expansión y de otros proyectos, actividades exploratorias, intereses de los socios, desinversiones, ahorros de costos y políticas de pago de dividendos. Estas declaraciones pueden incluir supuestos sobre futuras condiciones económicas y otras, el precio del petróleo y sus derivados, márgenes de refino y marketing y tasas de cambio. Estas declaraciones no constituyen garantías de qué resultados futuros, precios, márgenes, tasas de cambio u otros eventos se concretarán y las mismas están sujetas a riesgos importantes, incertidumbres, cambios en circunstancias y otros factores que pueden estar fuera del control de YPF o que pueden ser difíciles de predecir. </w:t>
      </w:r>
    </w:p>
    <w:p w14:paraId="4B88B33A" w14:textId="7CFAAF3D" w:rsidR="00CA0E05" w:rsidRPr="002E0E45" w:rsidRDefault="00CA0E05" w:rsidP="00CA0E05">
      <w:pPr>
        <w:autoSpaceDE w:val="0"/>
        <w:autoSpaceDN w:val="0"/>
        <w:adjustRightInd w:val="0"/>
        <w:spacing w:after="0" w:line="264" w:lineRule="auto"/>
        <w:jc w:val="both"/>
        <w:rPr>
          <w:rFonts w:ascii="Arial" w:hAnsi="Arial"/>
          <w:iCs/>
          <w:sz w:val="18"/>
          <w:lang w:val="es-AR"/>
        </w:rPr>
      </w:pPr>
      <w:r w:rsidRPr="002E0E45">
        <w:rPr>
          <w:rFonts w:ascii="Arial" w:hAnsi="Arial"/>
          <w:iCs/>
          <w:sz w:val="18"/>
          <w:lang w:val="es-AR"/>
        </w:rPr>
        <w:t xml:space="preserve">En el futuro, la situación financiera, ratios financieros, operativos, de reemplazo de reservas y otros, resultados operativos, estrategia de negocio, concentración geográfica y de negocio, volúmenes de producción y comercialización, reservas, gastos de capital e inversiones de YPF y expansión y otros proyectos, actividades exploratorias, intereses de los socios, desinversiones, ahorros de costos y políticas de pago de dividendos, así como futuras condiciones económicas y otras como el precio del petróleo y sus derivados, márgenes de refino y marketing y tasas de cambio  podrían variar sustancialmente en comparación a aquellas contenidas expresa o implícitamente en dichas estimaciones. Factores importantes que pudieran causar esas diferencias incluyen pero no se limitan a fluctuaciones en el precio del petróleo y sus derivados, niveles de oferta y demanda, tasa de cambio de divisas, resultados de exploración, perforación y producción, cambios en estimaciones de reservas, éxito en asociaciones con terceros, pérdida de participación en el mercado, competencia, riesgos medioambientales, físicos y de negocios en mercados emergentes, modificaciones legislativos, fiscales, legales y regulatorios, condiciones financieras y económicas en varios países y regiones, riesgos políticos, guerras, actos de terrorismo, desastres naturales, retrasos de proyectos o aprobaciones, así como otros factores descriptos en la documentación presentada por YPF y sus empresas afiliadas ante la Comisión Nacional de Valores en Argentina y la </w:t>
      </w:r>
      <w:proofErr w:type="spellStart"/>
      <w:r w:rsidRPr="002E0E45">
        <w:rPr>
          <w:rFonts w:ascii="Arial" w:hAnsi="Arial"/>
          <w:iCs/>
          <w:sz w:val="18"/>
          <w:lang w:val="es-AR"/>
        </w:rPr>
        <w:t>Securities</w:t>
      </w:r>
      <w:proofErr w:type="spellEnd"/>
      <w:r w:rsidRPr="002E0E45">
        <w:rPr>
          <w:rFonts w:ascii="Arial" w:hAnsi="Arial"/>
          <w:iCs/>
          <w:sz w:val="18"/>
          <w:lang w:val="es-AR"/>
        </w:rPr>
        <w:t xml:space="preserve"> and Exchange </w:t>
      </w:r>
      <w:proofErr w:type="spellStart"/>
      <w:r w:rsidRPr="002E0E45">
        <w:rPr>
          <w:rFonts w:ascii="Arial" w:hAnsi="Arial"/>
          <w:iCs/>
          <w:sz w:val="18"/>
          <w:lang w:val="es-AR"/>
        </w:rPr>
        <w:t>Commission</w:t>
      </w:r>
      <w:proofErr w:type="spellEnd"/>
      <w:r w:rsidRPr="002E0E45">
        <w:rPr>
          <w:rFonts w:ascii="Arial" w:hAnsi="Arial"/>
          <w:iCs/>
          <w:sz w:val="18"/>
          <w:lang w:val="es-AR"/>
        </w:rPr>
        <w:t xml:space="preserve"> de los Estados Unidos de América y, particularmente, aquellos factores descriptos en el Ítem 3 titulada “Key </w:t>
      </w:r>
      <w:proofErr w:type="spellStart"/>
      <w:r w:rsidRPr="002E0E45">
        <w:rPr>
          <w:rFonts w:ascii="Arial" w:hAnsi="Arial"/>
          <w:iCs/>
          <w:sz w:val="18"/>
          <w:lang w:val="es-AR"/>
        </w:rPr>
        <w:t>information</w:t>
      </w:r>
      <w:proofErr w:type="spellEnd"/>
      <w:r w:rsidRPr="002E0E45">
        <w:rPr>
          <w:rFonts w:ascii="Arial" w:hAnsi="Arial"/>
          <w:iCs/>
          <w:sz w:val="18"/>
          <w:lang w:val="es-AR"/>
        </w:rPr>
        <w:t xml:space="preserve">– </w:t>
      </w:r>
      <w:proofErr w:type="spellStart"/>
      <w:r w:rsidRPr="002E0E45">
        <w:rPr>
          <w:rFonts w:ascii="Arial" w:hAnsi="Arial"/>
          <w:iCs/>
          <w:sz w:val="18"/>
          <w:lang w:val="es-AR"/>
        </w:rPr>
        <w:t>Risk</w:t>
      </w:r>
      <w:proofErr w:type="spellEnd"/>
      <w:r w:rsidRPr="002E0E45">
        <w:rPr>
          <w:rFonts w:ascii="Arial" w:hAnsi="Arial"/>
          <w:iCs/>
          <w:sz w:val="18"/>
          <w:lang w:val="es-AR"/>
        </w:rPr>
        <w:t xml:space="preserve"> </w:t>
      </w:r>
      <w:proofErr w:type="spellStart"/>
      <w:r w:rsidRPr="002E0E45">
        <w:rPr>
          <w:rFonts w:ascii="Arial" w:hAnsi="Arial"/>
          <w:iCs/>
          <w:sz w:val="18"/>
          <w:lang w:val="es-AR"/>
        </w:rPr>
        <w:t>Factors</w:t>
      </w:r>
      <w:proofErr w:type="spellEnd"/>
      <w:r w:rsidRPr="002E0E45">
        <w:rPr>
          <w:rFonts w:ascii="Arial" w:hAnsi="Arial"/>
          <w:iCs/>
          <w:sz w:val="18"/>
          <w:lang w:val="es-AR"/>
        </w:rPr>
        <w:t>” y el Ítem 5 titulada “</w:t>
      </w:r>
      <w:proofErr w:type="spellStart"/>
      <w:r w:rsidRPr="002E0E45">
        <w:rPr>
          <w:rFonts w:ascii="Arial" w:hAnsi="Arial"/>
          <w:iCs/>
          <w:sz w:val="18"/>
          <w:lang w:val="es-AR"/>
        </w:rPr>
        <w:t>Operating</w:t>
      </w:r>
      <w:proofErr w:type="spellEnd"/>
      <w:r w:rsidRPr="002E0E45">
        <w:rPr>
          <w:rFonts w:ascii="Arial" w:hAnsi="Arial"/>
          <w:iCs/>
          <w:sz w:val="18"/>
          <w:lang w:val="es-AR"/>
        </w:rPr>
        <w:t xml:space="preserve"> and </w:t>
      </w:r>
      <w:proofErr w:type="spellStart"/>
      <w:r w:rsidRPr="002E0E45">
        <w:rPr>
          <w:rFonts w:ascii="Arial" w:hAnsi="Arial"/>
          <w:iCs/>
          <w:sz w:val="18"/>
          <w:lang w:val="es-AR"/>
        </w:rPr>
        <w:t>Financial</w:t>
      </w:r>
      <w:proofErr w:type="spellEnd"/>
      <w:r w:rsidRPr="002E0E45">
        <w:rPr>
          <w:rFonts w:ascii="Arial" w:hAnsi="Arial"/>
          <w:iCs/>
          <w:sz w:val="18"/>
          <w:lang w:val="es-AR"/>
        </w:rPr>
        <w:t xml:space="preserve"> </w:t>
      </w:r>
      <w:proofErr w:type="spellStart"/>
      <w:r w:rsidRPr="002E0E45">
        <w:rPr>
          <w:rFonts w:ascii="Arial" w:hAnsi="Arial"/>
          <w:iCs/>
          <w:sz w:val="18"/>
          <w:lang w:val="es-AR"/>
        </w:rPr>
        <w:t>Review</w:t>
      </w:r>
      <w:proofErr w:type="spellEnd"/>
      <w:r w:rsidRPr="002E0E45">
        <w:rPr>
          <w:rFonts w:ascii="Arial" w:hAnsi="Arial"/>
          <w:iCs/>
          <w:sz w:val="18"/>
          <w:lang w:val="es-AR"/>
        </w:rPr>
        <w:t xml:space="preserve"> and </w:t>
      </w:r>
      <w:proofErr w:type="spellStart"/>
      <w:r w:rsidRPr="002E0E45">
        <w:rPr>
          <w:rFonts w:ascii="Arial" w:hAnsi="Arial"/>
          <w:iCs/>
          <w:sz w:val="18"/>
          <w:lang w:val="es-AR"/>
        </w:rPr>
        <w:t>Prospects</w:t>
      </w:r>
      <w:proofErr w:type="spellEnd"/>
      <w:r w:rsidRPr="002E0E45">
        <w:rPr>
          <w:rFonts w:ascii="Arial" w:hAnsi="Arial"/>
          <w:iCs/>
          <w:sz w:val="18"/>
          <w:lang w:val="es-AR"/>
        </w:rPr>
        <w:t xml:space="preserve">” del Informe Anual de YPF en Formato 20-F para el año fiscal finalizado el 31 de </w:t>
      </w:r>
      <w:r>
        <w:rPr>
          <w:rFonts w:ascii="Arial" w:hAnsi="Arial"/>
          <w:iCs/>
          <w:sz w:val="18"/>
          <w:lang w:val="es-AR"/>
        </w:rPr>
        <w:t>d</w:t>
      </w:r>
      <w:r w:rsidRPr="002E0E45">
        <w:rPr>
          <w:rFonts w:ascii="Arial" w:hAnsi="Arial"/>
          <w:iCs/>
          <w:sz w:val="18"/>
          <w:lang w:val="es-AR"/>
        </w:rPr>
        <w:t>iciembre de 201</w:t>
      </w:r>
      <w:r w:rsidR="0084709D">
        <w:rPr>
          <w:rFonts w:ascii="Arial" w:hAnsi="Arial"/>
          <w:iCs/>
          <w:sz w:val="18"/>
          <w:lang w:val="es-AR"/>
        </w:rPr>
        <w:t>8</w:t>
      </w:r>
      <w:r w:rsidRPr="002E0E45">
        <w:rPr>
          <w:rFonts w:ascii="Arial" w:hAnsi="Arial"/>
          <w:iCs/>
          <w:sz w:val="18"/>
          <w:lang w:val="es-AR"/>
        </w:rPr>
        <w:t xml:space="preserve">, registrado ante la </w:t>
      </w:r>
      <w:proofErr w:type="spellStart"/>
      <w:r w:rsidRPr="002E0E45">
        <w:rPr>
          <w:rFonts w:ascii="Arial" w:hAnsi="Arial"/>
          <w:iCs/>
          <w:sz w:val="18"/>
          <w:lang w:val="es-AR"/>
        </w:rPr>
        <w:t>Securities</w:t>
      </w:r>
      <w:proofErr w:type="spellEnd"/>
      <w:r w:rsidRPr="002E0E45">
        <w:rPr>
          <w:rFonts w:ascii="Arial" w:hAnsi="Arial"/>
          <w:iCs/>
          <w:sz w:val="18"/>
          <w:lang w:val="es-AR"/>
        </w:rPr>
        <w:t xml:space="preserve"> and Exchange </w:t>
      </w:r>
      <w:proofErr w:type="spellStart"/>
      <w:r w:rsidRPr="002E0E45">
        <w:rPr>
          <w:rFonts w:ascii="Arial" w:hAnsi="Arial"/>
          <w:iCs/>
          <w:sz w:val="18"/>
          <w:lang w:val="es-AR"/>
        </w:rPr>
        <w:t>Commission</w:t>
      </w:r>
      <w:proofErr w:type="spellEnd"/>
      <w:r w:rsidRPr="002E0E45">
        <w:rPr>
          <w:rFonts w:ascii="Arial" w:hAnsi="Arial"/>
          <w:iCs/>
          <w:sz w:val="18"/>
          <w:lang w:val="es-AR"/>
        </w:rPr>
        <w:t>. En vista de lo mencionado anteriormente, las estimaciones incluidas en este documento pueden no ocurrir.</w:t>
      </w:r>
    </w:p>
    <w:p w14:paraId="56508B3D" w14:textId="77777777" w:rsidR="00CA0E05" w:rsidRPr="002E0E45" w:rsidRDefault="00CA0E05" w:rsidP="00CA0E05">
      <w:pPr>
        <w:autoSpaceDE w:val="0"/>
        <w:autoSpaceDN w:val="0"/>
        <w:adjustRightInd w:val="0"/>
        <w:spacing w:after="0" w:line="264" w:lineRule="auto"/>
        <w:jc w:val="both"/>
        <w:rPr>
          <w:rFonts w:ascii="Arial" w:hAnsi="Arial"/>
          <w:iCs/>
          <w:sz w:val="18"/>
          <w:lang w:val="es-AR"/>
        </w:rPr>
      </w:pPr>
      <w:r w:rsidRPr="002E0E45">
        <w:rPr>
          <w:rFonts w:ascii="Arial" w:hAnsi="Arial"/>
          <w:iCs/>
          <w:sz w:val="18"/>
          <w:lang w:val="es-AR"/>
        </w:rPr>
        <w:t>YPF no se compromete a actualizar o revisar públicamente dichas estimaciones aún en el caso en que eventos o cambios futuros indiquen claramente que las proyecciones o las situaciones contenidas expresa o implícitamente en dichas estimaciones no se concretarán.</w:t>
      </w:r>
    </w:p>
    <w:p w14:paraId="6AFA94D3" w14:textId="77777777" w:rsidR="00CA0E05" w:rsidRPr="002E0E45" w:rsidRDefault="00CA0E05" w:rsidP="00CA0E05">
      <w:pPr>
        <w:autoSpaceDE w:val="0"/>
        <w:autoSpaceDN w:val="0"/>
        <w:adjustRightInd w:val="0"/>
        <w:spacing w:after="0" w:line="264" w:lineRule="auto"/>
        <w:jc w:val="both"/>
        <w:rPr>
          <w:rFonts w:ascii="Arial" w:hAnsi="Arial"/>
          <w:iCs/>
          <w:sz w:val="18"/>
          <w:lang w:val="es-AR"/>
        </w:rPr>
      </w:pPr>
      <w:r w:rsidRPr="002E0E45">
        <w:rPr>
          <w:rFonts w:ascii="Arial" w:hAnsi="Arial"/>
          <w:iCs/>
          <w:sz w:val="18"/>
          <w:lang w:val="es-AR"/>
        </w:rPr>
        <w:t xml:space="preserve">Este material no constituye una oferta de venta de bonos, acciones o </w:t>
      </w:r>
      <w:proofErr w:type="spellStart"/>
      <w:r w:rsidRPr="002E0E45">
        <w:rPr>
          <w:rFonts w:ascii="Arial" w:hAnsi="Arial"/>
          <w:iCs/>
          <w:sz w:val="18"/>
          <w:lang w:val="es-AR"/>
        </w:rPr>
        <w:t>ADRs</w:t>
      </w:r>
      <w:proofErr w:type="spellEnd"/>
      <w:r w:rsidRPr="002E0E45">
        <w:rPr>
          <w:rFonts w:ascii="Arial" w:hAnsi="Arial"/>
          <w:iCs/>
          <w:sz w:val="18"/>
          <w:lang w:val="es-AR"/>
        </w:rPr>
        <w:t xml:space="preserve"> de YPF </w:t>
      </w:r>
      <w:r w:rsidR="00051560" w:rsidRPr="002E0E45">
        <w:rPr>
          <w:rFonts w:ascii="Arial" w:hAnsi="Arial"/>
          <w:iCs/>
          <w:sz w:val="18"/>
          <w:lang w:val="es-AR"/>
        </w:rPr>
        <w:t>S.A en</w:t>
      </w:r>
      <w:r w:rsidRPr="002E0E45">
        <w:rPr>
          <w:rFonts w:ascii="Arial" w:hAnsi="Arial"/>
          <w:iCs/>
          <w:sz w:val="18"/>
          <w:lang w:val="es-AR"/>
        </w:rPr>
        <w:t xml:space="preserve"> Estados Unidos u otros lugares.</w:t>
      </w:r>
    </w:p>
    <w:p w14:paraId="2A2C518C" w14:textId="77777777" w:rsidR="00CA0E05" w:rsidRPr="00EB670E" w:rsidRDefault="00CA0E05" w:rsidP="00CA0E05">
      <w:pPr>
        <w:autoSpaceDE w:val="0"/>
        <w:autoSpaceDN w:val="0"/>
        <w:adjustRightInd w:val="0"/>
        <w:spacing w:after="0" w:line="264" w:lineRule="auto"/>
        <w:jc w:val="both"/>
        <w:rPr>
          <w:rFonts w:ascii="Arial" w:hAnsi="Arial"/>
          <w:iCs/>
          <w:sz w:val="18"/>
          <w:lang w:val="es-AR"/>
        </w:rPr>
      </w:pPr>
      <w:r w:rsidRPr="002E0E45">
        <w:rPr>
          <w:rFonts w:ascii="Arial" w:hAnsi="Arial"/>
          <w:iCs/>
          <w:sz w:val="18"/>
          <w:lang w:val="es-AR"/>
        </w:rPr>
        <w:t>La información contenida en este documento ha sido preparada para ayudar a las partes interesadas en realizar sus propias evaluaciones de YPF.</w:t>
      </w:r>
    </w:p>
    <w:p w14:paraId="01413B1C" w14:textId="77777777" w:rsidR="00CA0E05" w:rsidRDefault="00CA0E05" w:rsidP="00CA0E05">
      <w:pPr>
        <w:autoSpaceDE w:val="0"/>
        <w:autoSpaceDN w:val="0"/>
        <w:adjustRightInd w:val="0"/>
        <w:spacing w:after="0" w:line="264" w:lineRule="auto"/>
        <w:jc w:val="both"/>
        <w:rPr>
          <w:rStyle w:val="Emphasis"/>
          <w:rFonts w:ascii="Arial" w:hAnsi="Arial"/>
          <w:i w:val="0"/>
          <w:sz w:val="18"/>
          <w:lang w:val="es-AR"/>
        </w:rPr>
      </w:pPr>
    </w:p>
    <w:p w14:paraId="3E854D15" w14:textId="77777777" w:rsidR="00CA0E05" w:rsidRDefault="00CA0E05" w:rsidP="00CA0E05">
      <w:pPr>
        <w:autoSpaceDE w:val="0"/>
        <w:autoSpaceDN w:val="0"/>
        <w:adjustRightInd w:val="0"/>
        <w:spacing w:after="0" w:line="264" w:lineRule="auto"/>
        <w:jc w:val="both"/>
        <w:rPr>
          <w:rStyle w:val="Emphasis"/>
          <w:rFonts w:ascii="Arial" w:hAnsi="Arial"/>
          <w:i w:val="0"/>
          <w:sz w:val="18"/>
          <w:lang w:val="es-AR"/>
        </w:rPr>
      </w:pPr>
    </w:p>
    <w:p w14:paraId="1AEAE30B" w14:textId="77777777" w:rsidR="00CA0E05" w:rsidRDefault="00CA0E05" w:rsidP="00CA0E05">
      <w:pPr>
        <w:autoSpaceDE w:val="0"/>
        <w:autoSpaceDN w:val="0"/>
        <w:adjustRightInd w:val="0"/>
        <w:spacing w:after="0" w:line="264" w:lineRule="auto"/>
        <w:jc w:val="both"/>
        <w:rPr>
          <w:rStyle w:val="Emphasis"/>
          <w:rFonts w:ascii="Arial" w:hAnsi="Arial"/>
          <w:i w:val="0"/>
          <w:sz w:val="18"/>
          <w:lang w:val="es-AR"/>
        </w:rPr>
      </w:pPr>
    </w:p>
    <w:p w14:paraId="4014D5B8" w14:textId="77777777" w:rsidR="00CA0E05" w:rsidRDefault="00CA0E05" w:rsidP="00CA0E05">
      <w:pPr>
        <w:autoSpaceDE w:val="0"/>
        <w:autoSpaceDN w:val="0"/>
        <w:adjustRightInd w:val="0"/>
        <w:spacing w:after="0" w:line="264" w:lineRule="auto"/>
        <w:jc w:val="both"/>
        <w:rPr>
          <w:rStyle w:val="Emphasis"/>
          <w:rFonts w:ascii="Arial" w:hAnsi="Arial"/>
          <w:i w:val="0"/>
          <w:sz w:val="18"/>
          <w:lang w:val="es-AR"/>
        </w:rPr>
      </w:pPr>
    </w:p>
    <w:p w14:paraId="7A57BA93" w14:textId="77777777" w:rsidR="00CA0E05" w:rsidRDefault="00CA0E05" w:rsidP="00CA0E05">
      <w:pPr>
        <w:autoSpaceDE w:val="0"/>
        <w:autoSpaceDN w:val="0"/>
        <w:adjustRightInd w:val="0"/>
        <w:spacing w:after="0" w:line="264" w:lineRule="auto"/>
        <w:jc w:val="both"/>
        <w:rPr>
          <w:rStyle w:val="Emphasis"/>
          <w:rFonts w:ascii="Arial" w:hAnsi="Arial"/>
          <w:i w:val="0"/>
          <w:sz w:val="18"/>
          <w:lang w:val="es-AR"/>
        </w:rPr>
      </w:pPr>
    </w:p>
    <w:p w14:paraId="129D853A" w14:textId="77777777" w:rsidR="00CA0E05" w:rsidRPr="00632534" w:rsidRDefault="00CA0E05" w:rsidP="00CA0E05">
      <w:pPr>
        <w:autoSpaceDE w:val="0"/>
        <w:autoSpaceDN w:val="0"/>
        <w:adjustRightInd w:val="0"/>
        <w:spacing w:after="0" w:line="264" w:lineRule="auto"/>
        <w:jc w:val="both"/>
        <w:rPr>
          <w:rStyle w:val="Emphasis"/>
          <w:rFonts w:ascii="Arial" w:hAnsi="Arial"/>
          <w:i w:val="0"/>
          <w:sz w:val="18"/>
          <w:lang w:val="es-AR"/>
        </w:rPr>
      </w:pPr>
    </w:p>
    <w:p w14:paraId="400CC43B" w14:textId="77777777" w:rsidR="00CA0E05" w:rsidRPr="0054229B" w:rsidRDefault="00CA0E05" w:rsidP="00CA0E05">
      <w:pPr>
        <w:pStyle w:val="Heading1"/>
        <w:rPr>
          <w:lang w:val="es-AR"/>
        </w:rPr>
      </w:pPr>
      <w:bookmarkStart w:id="96" w:name="_Toc339009982"/>
      <w:bookmarkStart w:id="97" w:name="_Toc339010025"/>
      <w:r w:rsidRPr="0054229B">
        <w:rPr>
          <w:spacing w:val="-3"/>
          <w:lang w:val="es-ES"/>
        </w:rPr>
        <w:t>Relación con Inversores</w:t>
      </w:r>
      <w:bookmarkEnd w:id="96"/>
      <w:bookmarkEnd w:id="97"/>
      <w:r w:rsidRPr="0054229B">
        <w:rPr>
          <w:spacing w:val="-3"/>
          <w:lang w:val="es-ES"/>
        </w:rPr>
        <w:t xml:space="preserve"> </w:t>
      </w:r>
    </w:p>
    <w:p w14:paraId="44D0F42F" w14:textId="77777777" w:rsidR="00CA0E05" w:rsidRDefault="00CA0E05" w:rsidP="00CA0E05">
      <w:pPr>
        <w:spacing w:after="0"/>
        <w:jc w:val="both"/>
        <w:rPr>
          <w:rFonts w:ascii="Arial" w:hAnsi="Arial"/>
          <w:b/>
          <w:sz w:val="20"/>
          <w:lang w:val="es-AR"/>
        </w:rPr>
      </w:pPr>
      <w:r w:rsidRPr="007F5ABD">
        <w:rPr>
          <w:rFonts w:ascii="Arial" w:hAnsi="Arial"/>
          <w:spacing w:val="-3"/>
          <w:sz w:val="20"/>
          <w:szCs w:val="20"/>
          <w:lang w:val="es-AR"/>
        </w:rPr>
        <w:t xml:space="preserve">E-mail: </w:t>
      </w:r>
      <w:r w:rsidRPr="00FE1CE9">
        <w:rPr>
          <w:rFonts w:ascii="Arial" w:hAnsi="Arial"/>
          <w:spacing w:val="-3"/>
          <w:sz w:val="20"/>
          <w:szCs w:val="20"/>
          <w:lang w:val="es-AR"/>
        </w:rPr>
        <w:t>inversoresypf@ypf.com</w:t>
      </w:r>
      <w:r>
        <w:rPr>
          <w:rFonts w:ascii="Arial" w:hAnsi="Arial"/>
          <w:b/>
          <w:sz w:val="20"/>
          <w:lang w:val="es-AR"/>
        </w:rPr>
        <w:t xml:space="preserve">  </w:t>
      </w:r>
    </w:p>
    <w:p w14:paraId="1F34865E" w14:textId="77777777" w:rsidR="00CA0E05" w:rsidRPr="00EA6ABA" w:rsidRDefault="00CA0E05" w:rsidP="00CA0E05">
      <w:pPr>
        <w:spacing w:after="0"/>
        <w:jc w:val="both"/>
        <w:rPr>
          <w:rFonts w:ascii="Arial" w:hAnsi="Arial"/>
          <w:b/>
          <w:sz w:val="20"/>
          <w:lang w:val="de-DE"/>
        </w:rPr>
      </w:pPr>
      <w:r>
        <w:rPr>
          <w:rFonts w:ascii="Arial" w:hAnsi="Arial"/>
          <w:spacing w:val="-3"/>
          <w:sz w:val="20"/>
          <w:szCs w:val="20"/>
          <w:lang w:val="de-DE"/>
        </w:rPr>
        <w:t>Website: inversores</w:t>
      </w:r>
      <w:r w:rsidRPr="00EA6ABA">
        <w:rPr>
          <w:rFonts w:ascii="Arial" w:hAnsi="Arial"/>
          <w:spacing w:val="-3"/>
          <w:sz w:val="20"/>
          <w:szCs w:val="20"/>
          <w:lang w:val="de-DE"/>
        </w:rPr>
        <w:t>.ypf.com</w:t>
      </w:r>
    </w:p>
    <w:p w14:paraId="3D138F14" w14:textId="77777777" w:rsidR="00CA0E05" w:rsidRPr="00EA6ABA" w:rsidRDefault="00CA0E05" w:rsidP="00CA0E05">
      <w:pPr>
        <w:tabs>
          <w:tab w:val="left" w:pos="567"/>
          <w:tab w:val="left" w:pos="1134"/>
          <w:tab w:val="left" w:pos="1701"/>
          <w:tab w:val="left" w:pos="2268"/>
        </w:tabs>
        <w:suppressAutoHyphens/>
        <w:spacing w:after="0"/>
        <w:rPr>
          <w:rFonts w:ascii="Arial" w:hAnsi="Arial"/>
          <w:spacing w:val="-3"/>
          <w:sz w:val="20"/>
          <w:szCs w:val="20"/>
          <w:lang w:val="de-DE"/>
        </w:rPr>
      </w:pPr>
      <w:r w:rsidRPr="00EA6ABA">
        <w:rPr>
          <w:rFonts w:ascii="Arial" w:hAnsi="Arial"/>
          <w:spacing w:val="-3"/>
          <w:sz w:val="20"/>
          <w:szCs w:val="20"/>
          <w:lang w:val="de-DE"/>
        </w:rPr>
        <w:t xml:space="preserve">Macacha Güemes 515 </w:t>
      </w:r>
    </w:p>
    <w:p w14:paraId="3264BE52" w14:textId="77777777" w:rsidR="00CA0E05" w:rsidRPr="00FD56AF" w:rsidRDefault="00CA0E05" w:rsidP="00CA0E05">
      <w:pPr>
        <w:tabs>
          <w:tab w:val="left" w:pos="567"/>
          <w:tab w:val="left" w:pos="1134"/>
          <w:tab w:val="left" w:pos="1701"/>
          <w:tab w:val="left" w:pos="2268"/>
        </w:tabs>
        <w:suppressAutoHyphens/>
        <w:spacing w:after="0"/>
        <w:rPr>
          <w:rFonts w:ascii="Arial" w:hAnsi="Arial"/>
          <w:spacing w:val="-3"/>
          <w:sz w:val="20"/>
          <w:szCs w:val="20"/>
          <w:lang w:val="es-AR"/>
        </w:rPr>
      </w:pPr>
      <w:r>
        <w:rPr>
          <w:rFonts w:ascii="Arial" w:hAnsi="Arial"/>
          <w:spacing w:val="-3"/>
          <w:sz w:val="20"/>
          <w:szCs w:val="20"/>
          <w:lang w:val="es-AR"/>
        </w:rPr>
        <w:t>C</w:t>
      </w:r>
      <w:r w:rsidRPr="00772852">
        <w:rPr>
          <w:rFonts w:ascii="Arial" w:hAnsi="Arial"/>
          <w:spacing w:val="-3"/>
          <w:sz w:val="20"/>
          <w:szCs w:val="20"/>
          <w:lang w:val="es-ES"/>
        </w:rPr>
        <w:t>1106</w:t>
      </w:r>
      <w:r>
        <w:rPr>
          <w:rFonts w:ascii="Arial" w:hAnsi="Arial"/>
          <w:spacing w:val="-3"/>
          <w:sz w:val="20"/>
          <w:szCs w:val="20"/>
          <w:lang w:val="es-ES"/>
        </w:rPr>
        <w:t>BKK</w:t>
      </w:r>
      <w:r w:rsidRPr="00275B91">
        <w:rPr>
          <w:rFonts w:ascii="Arial" w:hAnsi="Arial"/>
          <w:spacing w:val="-3"/>
          <w:sz w:val="20"/>
          <w:szCs w:val="20"/>
          <w:lang w:val="es-ES"/>
        </w:rPr>
        <w:t xml:space="preserve"> Buenos Aires (Argentina)</w:t>
      </w:r>
    </w:p>
    <w:p w14:paraId="5DE61146" w14:textId="77777777" w:rsidR="00CA0E05" w:rsidRDefault="00CA0E05" w:rsidP="00CA0E05">
      <w:pPr>
        <w:tabs>
          <w:tab w:val="left" w:pos="567"/>
          <w:tab w:val="left" w:pos="1134"/>
          <w:tab w:val="left" w:pos="1701"/>
          <w:tab w:val="left" w:pos="2268"/>
        </w:tabs>
        <w:suppressAutoHyphens/>
        <w:spacing w:after="0"/>
        <w:rPr>
          <w:rFonts w:ascii="Arial" w:hAnsi="Arial"/>
          <w:spacing w:val="-3"/>
          <w:sz w:val="20"/>
          <w:szCs w:val="20"/>
          <w:lang w:val="es-AR"/>
        </w:rPr>
      </w:pPr>
      <w:r>
        <w:rPr>
          <w:rFonts w:ascii="Arial" w:hAnsi="Arial"/>
          <w:spacing w:val="-3"/>
          <w:sz w:val="20"/>
          <w:szCs w:val="20"/>
          <w:lang w:val="es-ES"/>
        </w:rPr>
        <w:t>Tel</w:t>
      </w:r>
      <w:r w:rsidRPr="00275B91">
        <w:rPr>
          <w:rFonts w:ascii="Arial" w:hAnsi="Arial"/>
          <w:spacing w:val="-3"/>
          <w:sz w:val="20"/>
          <w:szCs w:val="20"/>
          <w:lang w:val="es-ES"/>
        </w:rPr>
        <w:t xml:space="preserve">: </w:t>
      </w:r>
      <w:r>
        <w:rPr>
          <w:rFonts w:ascii="Arial" w:hAnsi="Arial"/>
          <w:spacing w:val="-3"/>
          <w:sz w:val="20"/>
          <w:szCs w:val="20"/>
          <w:lang w:val="es-AR"/>
        </w:rPr>
        <w:t>54 11 5441 1215</w:t>
      </w:r>
    </w:p>
    <w:p w14:paraId="5E31A131" w14:textId="77777777" w:rsidR="00CA0E05" w:rsidRPr="006542D4" w:rsidRDefault="00CA0E05" w:rsidP="00CA0E05">
      <w:pPr>
        <w:tabs>
          <w:tab w:val="left" w:pos="567"/>
          <w:tab w:val="left" w:pos="1134"/>
          <w:tab w:val="left" w:pos="1701"/>
          <w:tab w:val="left" w:pos="2268"/>
        </w:tabs>
        <w:suppressAutoHyphens/>
        <w:spacing w:after="0"/>
        <w:rPr>
          <w:rFonts w:ascii="Arial" w:hAnsi="Arial"/>
          <w:spacing w:val="-3"/>
          <w:sz w:val="20"/>
          <w:szCs w:val="20"/>
          <w:lang w:val="es-AR"/>
        </w:rPr>
      </w:pPr>
      <w:r w:rsidRPr="006542D4">
        <w:rPr>
          <w:rFonts w:ascii="Arial" w:hAnsi="Arial"/>
          <w:spacing w:val="-3"/>
          <w:sz w:val="20"/>
          <w:szCs w:val="20"/>
          <w:lang w:val="es-AR"/>
        </w:rPr>
        <w:t>Fax: 54 11 5441 2113</w:t>
      </w:r>
    </w:p>
    <w:p w14:paraId="3101AAD2" w14:textId="77777777" w:rsidR="00772852" w:rsidRPr="00772852" w:rsidRDefault="00772852" w:rsidP="00CA0E05">
      <w:pPr>
        <w:spacing w:after="0" w:line="240" w:lineRule="auto"/>
        <w:jc w:val="both"/>
        <w:rPr>
          <w:rFonts w:ascii="Arial" w:hAnsi="Arial"/>
          <w:spacing w:val="-3"/>
          <w:sz w:val="20"/>
          <w:szCs w:val="20"/>
          <w:lang w:val="es-AR"/>
        </w:rPr>
      </w:pPr>
    </w:p>
    <w:sectPr w:rsidR="00772852" w:rsidRPr="00772852" w:rsidSect="001F41DE">
      <w:headerReference w:type="default" r:id="rId20"/>
      <w:footerReference w:type="default" r:id="rId21"/>
      <w:headerReference w:type="first" r:id="rId22"/>
      <w:endnotePr>
        <w:numFmt w:val="decimal"/>
      </w:endnotePr>
      <w:type w:val="continuous"/>
      <w:pgSz w:w="11907" w:h="16840" w:code="9"/>
      <w:pgMar w:top="1560" w:right="708" w:bottom="709" w:left="851" w:header="709" w:footer="283"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4FF17" w14:textId="77777777" w:rsidR="008B6E52" w:rsidRDefault="008B6E52" w:rsidP="009B50F2">
      <w:pPr>
        <w:spacing w:after="0" w:line="240" w:lineRule="auto"/>
      </w:pPr>
      <w:r>
        <w:separator/>
      </w:r>
    </w:p>
  </w:endnote>
  <w:endnote w:type="continuationSeparator" w:id="0">
    <w:p w14:paraId="7E826C67" w14:textId="77777777" w:rsidR="008B6E52" w:rsidRDefault="008B6E52" w:rsidP="009B5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0138283"/>
      <w:docPartObj>
        <w:docPartGallery w:val="Page Numbers (Bottom of Page)"/>
        <w:docPartUnique/>
      </w:docPartObj>
    </w:sdtPr>
    <w:sdtEndPr/>
    <w:sdtContent>
      <w:p w14:paraId="4A065100" w14:textId="0EB048EA" w:rsidR="008B6E52" w:rsidRDefault="008B6E52">
        <w:pPr>
          <w:pStyle w:val="Footer"/>
          <w:jc w:val="center"/>
        </w:pPr>
        <w:r>
          <w:fldChar w:fldCharType="begin"/>
        </w:r>
        <w:r>
          <w:instrText>PAGE   \* MERGEFORMAT</w:instrText>
        </w:r>
        <w:r>
          <w:fldChar w:fldCharType="separate"/>
        </w:r>
        <w:r w:rsidR="000725C7" w:rsidRPr="000725C7">
          <w:rPr>
            <w:noProof/>
            <w:lang w:val="es-ES"/>
          </w:rPr>
          <w:t>11</w:t>
        </w:r>
        <w:r>
          <w:fldChar w:fldCharType="end"/>
        </w:r>
      </w:p>
    </w:sdtContent>
  </w:sdt>
  <w:p w14:paraId="6F5E4138" w14:textId="77777777" w:rsidR="008B6E52" w:rsidRPr="00B31F43" w:rsidRDefault="008B6E52" w:rsidP="005A5307">
    <w:pPr>
      <w:pStyle w:val="Footer"/>
      <w:jc w:val="center"/>
      <w:rPr>
        <w:lang w:val="es-A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9E8452" w14:textId="77777777" w:rsidR="008B6E52" w:rsidRDefault="008B6E52" w:rsidP="009B50F2">
      <w:pPr>
        <w:spacing w:after="0" w:line="240" w:lineRule="auto"/>
      </w:pPr>
      <w:r>
        <w:separator/>
      </w:r>
    </w:p>
  </w:footnote>
  <w:footnote w:type="continuationSeparator" w:id="0">
    <w:p w14:paraId="05267269" w14:textId="77777777" w:rsidR="008B6E52" w:rsidRDefault="008B6E52" w:rsidP="009B50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F6813" w14:textId="07817D08" w:rsidR="008B6E52" w:rsidRPr="00124F3D" w:rsidRDefault="008B6E52" w:rsidP="00385DD5">
    <w:pPr>
      <w:pStyle w:val="Header"/>
      <w:pBdr>
        <w:bottom w:val="double" w:sz="4" w:space="1" w:color="auto"/>
      </w:pBdr>
      <w:jc w:val="both"/>
      <w:rPr>
        <w:lang w:val="es-AR"/>
      </w:rPr>
    </w:pPr>
    <w:r>
      <w:rPr>
        <w:noProof/>
        <w:lang w:val="es-AR" w:eastAsia="es-AR"/>
      </w:rPr>
      <w:drawing>
        <wp:inline distT="0" distB="0" distL="0" distR="0" wp14:anchorId="3450BAC1" wp14:editId="181942AD">
          <wp:extent cx="1014095" cy="678815"/>
          <wp:effectExtent l="19050" t="0" r="0" b="0"/>
          <wp:docPr id="25" name="Imagen 25" descr="recuadro para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cuadro para word"/>
                  <pic:cNvPicPr>
                    <a:picLocks noChangeAspect="1" noChangeArrowheads="1"/>
                  </pic:cNvPicPr>
                </pic:nvPicPr>
                <pic:blipFill>
                  <a:blip r:embed="rId1"/>
                  <a:srcRect/>
                  <a:stretch>
                    <a:fillRect/>
                  </a:stretch>
                </pic:blipFill>
                <pic:spPr bwMode="auto">
                  <a:xfrm>
                    <a:off x="0" y="0"/>
                    <a:ext cx="1014095" cy="678815"/>
                  </a:xfrm>
                  <a:prstGeom prst="rect">
                    <a:avLst/>
                  </a:prstGeom>
                  <a:noFill/>
                  <a:ln w="9525">
                    <a:noFill/>
                    <a:miter lim="800000"/>
                    <a:headEnd/>
                    <a:tailEnd/>
                  </a:ln>
                </pic:spPr>
              </pic:pic>
            </a:graphicData>
          </a:graphic>
        </wp:inline>
      </w:drawing>
    </w:r>
    <w:r w:rsidRPr="00124F3D">
      <w:rPr>
        <w:rFonts w:ascii="Arial" w:hAnsi="Arial" w:cs="Arial"/>
        <w:lang w:val="es-AR"/>
      </w:rPr>
      <w:t xml:space="preserve">                                                        </w:t>
    </w:r>
    <w:r>
      <w:rPr>
        <w:rFonts w:ascii="Arial" w:hAnsi="Arial" w:cs="Arial"/>
        <w:lang w:val="es-AR"/>
      </w:rPr>
      <w:t xml:space="preserve">     </w:t>
    </w:r>
    <w:r>
      <w:rPr>
        <w:rFonts w:ascii="Arial" w:hAnsi="Arial" w:cs="Arial"/>
        <w:lang w:val="es-AR"/>
      </w:rPr>
      <w:tab/>
    </w:r>
    <w:r>
      <w:rPr>
        <w:rFonts w:ascii="Arial" w:hAnsi="Arial" w:cs="Arial"/>
        <w:lang w:val="es-AR"/>
      </w:rPr>
      <w:tab/>
    </w:r>
    <w:r>
      <w:rPr>
        <w:rFonts w:ascii="Arial" w:hAnsi="Arial" w:cs="Arial"/>
        <w:lang w:val="es-AR"/>
      </w:rPr>
      <w:tab/>
    </w:r>
    <w:r>
      <w:rPr>
        <w:rFonts w:ascii="Arial" w:hAnsi="Arial" w:cs="Arial"/>
        <w:lang w:val="es-AR"/>
      </w:rPr>
      <w:tab/>
      <w:t xml:space="preserve">                       </w:t>
    </w:r>
    <w:r>
      <w:rPr>
        <w:rFonts w:ascii="Arial" w:hAnsi="Arial" w:cs="Arial"/>
        <w:lang w:val="es-AR"/>
      </w:rPr>
      <w:tab/>
      <w:t xml:space="preserve">                  </w:t>
    </w:r>
    <w:r w:rsidRPr="00124F3D">
      <w:rPr>
        <w:rFonts w:ascii="Arial" w:hAnsi="Arial" w:cs="Arial"/>
        <w:lang w:val="es-AR"/>
      </w:rPr>
      <w:t xml:space="preserve">Resultados </w:t>
    </w:r>
    <w:r>
      <w:rPr>
        <w:rFonts w:ascii="Arial" w:hAnsi="Arial" w:cs="Arial"/>
        <w:lang w:val="es-AR"/>
      </w:rPr>
      <w:t>C</w:t>
    </w:r>
    <w:r w:rsidRPr="00124F3D">
      <w:rPr>
        <w:rFonts w:ascii="Arial" w:hAnsi="Arial" w:cs="Arial"/>
        <w:lang w:val="es-AR"/>
      </w:rPr>
      <w:t xml:space="preserve">onsolidados </w:t>
    </w:r>
    <w:r>
      <w:rPr>
        <w:rFonts w:ascii="Arial" w:hAnsi="Arial" w:cs="Arial"/>
        <w:lang w:val="es-AR"/>
      </w:rPr>
      <w:t>2</w:t>
    </w:r>
    <w:r w:rsidRPr="00124F3D">
      <w:rPr>
        <w:rFonts w:ascii="Arial" w:hAnsi="Arial" w:cs="Arial"/>
        <w:lang w:val="es-AR"/>
      </w:rPr>
      <w:t>T 201</w:t>
    </w:r>
    <w:r>
      <w:rPr>
        <w:rFonts w:ascii="Arial" w:hAnsi="Arial" w:cs="Arial"/>
        <w:lang w:val="es-AR"/>
      </w:rPr>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15955" w14:textId="77777777" w:rsidR="008B6E52" w:rsidRDefault="008B6E52" w:rsidP="0064510B">
    <w:pPr>
      <w:pStyle w:val="Header"/>
      <w:pBdr>
        <w:bottom w:val="double" w:sz="4" w:space="1" w:color="auto"/>
      </w:pBdr>
    </w:pPr>
    <w:r>
      <w:rPr>
        <w:noProof/>
        <w:lang w:val="es-AR" w:eastAsia="es-AR"/>
      </w:rPr>
      <w:drawing>
        <wp:inline distT="0" distB="0" distL="0" distR="0" wp14:anchorId="1C1FA20B" wp14:editId="04984682">
          <wp:extent cx="1014095" cy="678815"/>
          <wp:effectExtent l="19050" t="0" r="0" b="0"/>
          <wp:docPr id="30" name="Imagen 30" descr="recuadro para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cuadro para word"/>
                  <pic:cNvPicPr>
                    <a:picLocks noChangeAspect="1" noChangeArrowheads="1"/>
                  </pic:cNvPicPr>
                </pic:nvPicPr>
                <pic:blipFill>
                  <a:blip r:embed="rId1"/>
                  <a:srcRect/>
                  <a:stretch>
                    <a:fillRect/>
                  </a:stretch>
                </pic:blipFill>
                <pic:spPr bwMode="auto">
                  <a:xfrm>
                    <a:off x="0" y="0"/>
                    <a:ext cx="1014095" cy="678815"/>
                  </a:xfrm>
                  <a:prstGeom prst="rect">
                    <a:avLst/>
                  </a:prstGeom>
                  <a:noFill/>
                  <a:ln w="9525">
                    <a:noFill/>
                    <a:miter lim="800000"/>
                    <a:headEnd/>
                    <a:tailEnd/>
                  </a:ln>
                </pic:spPr>
              </pic:pic>
            </a:graphicData>
          </a:graphic>
        </wp:inline>
      </w:drawing>
    </w:r>
    <w:r w:rsidRPr="00BC4FB2">
      <w:rPr>
        <w:rFonts w:ascii="Arial" w:hAnsi="Arial" w:cs="Arial"/>
      </w:rPr>
      <w:t xml:space="preserve"> </w:t>
    </w:r>
    <w:r>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335A1C8"/>
    <w:multiLevelType w:val="hybridMultilevel"/>
    <w:tmpl w:val="C93E80C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505B980"/>
    <w:multiLevelType w:val="hybridMultilevel"/>
    <w:tmpl w:val="4D79981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632B9F5"/>
    <w:multiLevelType w:val="hybridMultilevel"/>
    <w:tmpl w:val="0C4485F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A7C1B4F"/>
    <w:multiLevelType w:val="hybridMultilevel"/>
    <w:tmpl w:val="120CCAF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BB96D4B"/>
    <w:multiLevelType w:val="hybridMultilevel"/>
    <w:tmpl w:val="F07F3D1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531A38E"/>
    <w:multiLevelType w:val="hybridMultilevel"/>
    <w:tmpl w:val="ADF4B07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B9CC99D"/>
    <w:multiLevelType w:val="hybridMultilevel"/>
    <w:tmpl w:val="F9D2610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A5F180A"/>
    <w:multiLevelType w:val="hybridMultilevel"/>
    <w:tmpl w:val="1474F0DC"/>
    <w:lvl w:ilvl="0" w:tplc="6A0E3148">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17F70B44"/>
    <w:multiLevelType w:val="hybridMultilevel"/>
    <w:tmpl w:val="597070A4"/>
    <w:lvl w:ilvl="0" w:tplc="F0C41E64">
      <w:start w:val="1"/>
      <w:numFmt w:val="lowerLetter"/>
      <w:lvlText w:val="%1)"/>
      <w:lvlJc w:val="left"/>
      <w:pPr>
        <w:ind w:left="1364" w:hanging="360"/>
      </w:pPr>
      <w:rPr>
        <w:rFonts w:hint="default"/>
      </w:rPr>
    </w:lvl>
    <w:lvl w:ilvl="1" w:tplc="2C0A0019" w:tentative="1">
      <w:start w:val="1"/>
      <w:numFmt w:val="lowerLetter"/>
      <w:lvlText w:val="%2."/>
      <w:lvlJc w:val="left"/>
      <w:pPr>
        <w:ind w:left="2084" w:hanging="360"/>
      </w:pPr>
    </w:lvl>
    <w:lvl w:ilvl="2" w:tplc="2C0A001B" w:tentative="1">
      <w:start w:val="1"/>
      <w:numFmt w:val="lowerRoman"/>
      <w:lvlText w:val="%3."/>
      <w:lvlJc w:val="right"/>
      <w:pPr>
        <w:ind w:left="2804" w:hanging="180"/>
      </w:pPr>
    </w:lvl>
    <w:lvl w:ilvl="3" w:tplc="2C0A000F" w:tentative="1">
      <w:start w:val="1"/>
      <w:numFmt w:val="decimal"/>
      <w:lvlText w:val="%4."/>
      <w:lvlJc w:val="left"/>
      <w:pPr>
        <w:ind w:left="3524" w:hanging="360"/>
      </w:pPr>
    </w:lvl>
    <w:lvl w:ilvl="4" w:tplc="2C0A0019" w:tentative="1">
      <w:start w:val="1"/>
      <w:numFmt w:val="lowerLetter"/>
      <w:lvlText w:val="%5."/>
      <w:lvlJc w:val="left"/>
      <w:pPr>
        <w:ind w:left="4244" w:hanging="360"/>
      </w:pPr>
    </w:lvl>
    <w:lvl w:ilvl="5" w:tplc="2C0A001B" w:tentative="1">
      <w:start w:val="1"/>
      <w:numFmt w:val="lowerRoman"/>
      <w:lvlText w:val="%6."/>
      <w:lvlJc w:val="right"/>
      <w:pPr>
        <w:ind w:left="4964" w:hanging="180"/>
      </w:pPr>
    </w:lvl>
    <w:lvl w:ilvl="6" w:tplc="2C0A000F" w:tentative="1">
      <w:start w:val="1"/>
      <w:numFmt w:val="decimal"/>
      <w:lvlText w:val="%7."/>
      <w:lvlJc w:val="left"/>
      <w:pPr>
        <w:ind w:left="5684" w:hanging="360"/>
      </w:pPr>
    </w:lvl>
    <w:lvl w:ilvl="7" w:tplc="2C0A0019" w:tentative="1">
      <w:start w:val="1"/>
      <w:numFmt w:val="lowerLetter"/>
      <w:lvlText w:val="%8."/>
      <w:lvlJc w:val="left"/>
      <w:pPr>
        <w:ind w:left="6404" w:hanging="360"/>
      </w:pPr>
    </w:lvl>
    <w:lvl w:ilvl="8" w:tplc="2C0A001B" w:tentative="1">
      <w:start w:val="1"/>
      <w:numFmt w:val="lowerRoman"/>
      <w:lvlText w:val="%9."/>
      <w:lvlJc w:val="right"/>
      <w:pPr>
        <w:ind w:left="7124" w:hanging="180"/>
      </w:pPr>
    </w:lvl>
  </w:abstractNum>
  <w:abstractNum w:abstractNumId="9" w15:restartNumberingAfterBreak="0">
    <w:nsid w:val="1E6365E3"/>
    <w:multiLevelType w:val="hybridMultilevel"/>
    <w:tmpl w:val="E9CE3592"/>
    <w:lvl w:ilvl="0" w:tplc="2C0A0001">
      <w:start w:val="1"/>
      <w:numFmt w:val="bullet"/>
      <w:lvlText w:val=""/>
      <w:lvlJc w:val="left"/>
      <w:pPr>
        <w:ind w:left="998" w:hanging="360"/>
      </w:pPr>
      <w:rPr>
        <w:rFonts w:ascii="Symbol" w:hAnsi="Symbol" w:hint="default"/>
      </w:rPr>
    </w:lvl>
    <w:lvl w:ilvl="1" w:tplc="2C0A0003" w:tentative="1">
      <w:start w:val="1"/>
      <w:numFmt w:val="bullet"/>
      <w:lvlText w:val="o"/>
      <w:lvlJc w:val="left"/>
      <w:pPr>
        <w:ind w:left="1718" w:hanging="360"/>
      </w:pPr>
      <w:rPr>
        <w:rFonts w:ascii="Courier New" w:hAnsi="Courier New" w:cs="Courier New" w:hint="default"/>
      </w:rPr>
    </w:lvl>
    <w:lvl w:ilvl="2" w:tplc="2C0A0005" w:tentative="1">
      <w:start w:val="1"/>
      <w:numFmt w:val="bullet"/>
      <w:lvlText w:val=""/>
      <w:lvlJc w:val="left"/>
      <w:pPr>
        <w:ind w:left="2438" w:hanging="360"/>
      </w:pPr>
      <w:rPr>
        <w:rFonts w:ascii="Wingdings" w:hAnsi="Wingdings" w:hint="default"/>
      </w:rPr>
    </w:lvl>
    <w:lvl w:ilvl="3" w:tplc="2C0A0001" w:tentative="1">
      <w:start w:val="1"/>
      <w:numFmt w:val="bullet"/>
      <w:lvlText w:val=""/>
      <w:lvlJc w:val="left"/>
      <w:pPr>
        <w:ind w:left="3158" w:hanging="360"/>
      </w:pPr>
      <w:rPr>
        <w:rFonts w:ascii="Symbol" w:hAnsi="Symbol" w:hint="default"/>
      </w:rPr>
    </w:lvl>
    <w:lvl w:ilvl="4" w:tplc="2C0A0003" w:tentative="1">
      <w:start w:val="1"/>
      <w:numFmt w:val="bullet"/>
      <w:lvlText w:val="o"/>
      <w:lvlJc w:val="left"/>
      <w:pPr>
        <w:ind w:left="3878" w:hanging="360"/>
      </w:pPr>
      <w:rPr>
        <w:rFonts w:ascii="Courier New" w:hAnsi="Courier New" w:cs="Courier New" w:hint="default"/>
      </w:rPr>
    </w:lvl>
    <w:lvl w:ilvl="5" w:tplc="2C0A0005" w:tentative="1">
      <w:start w:val="1"/>
      <w:numFmt w:val="bullet"/>
      <w:lvlText w:val=""/>
      <w:lvlJc w:val="left"/>
      <w:pPr>
        <w:ind w:left="4598" w:hanging="360"/>
      </w:pPr>
      <w:rPr>
        <w:rFonts w:ascii="Wingdings" w:hAnsi="Wingdings" w:hint="default"/>
      </w:rPr>
    </w:lvl>
    <w:lvl w:ilvl="6" w:tplc="2C0A0001" w:tentative="1">
      <w:start w:val="1"/>
      <w:numFmt w:val="bullet"/>
      <w:lvlText w:val=""/>
      <w:lvlJc w:val="left"/>
      <w:pPr>
        <w:ind w:left="5318" w:hanging="360"/>
      </w:pPr>
      <w:rPr>
        <w:rFonts w:ascii="Symbol" w:hAnsi="Symbol" w:hint="default"/>
      </w:rPr>
    </w:lvl>
    <w:lvl w:ilvl="7" w:tplc="2C0A0003" w:tentative="1">
      <w:start w:val="1"/>
      <w:numFmt w:val="bullet"/>
      <w:lvlText w:val="o"/>
      <w:lvlJc w:val="left"/>
      <w:pPr>
        <w:ind w:left="6038" w:hanging="360"/>
      </w:pPr>
      <w:rPr>
        <w:rFonts w:ascii="Courier New" w:hAnsi="Courier New" w:cs="Courier New" w:hint="default"/>
      </w:rPr>
    </w:lvl>
    <w:lvl w:ilvl="8" w:tplc="2C0A0005" w:tentative="1">
      <w:start w:val="1"/>
      <w:numFmt w:val="bullet"/>
      <w:lvlText w:val=""/>
      <w:lvlJc w:val="left"/>
      <w:pPr>
        <w:ind w:left="6758" w:hanging="360"/>
      </w:pPr>
      <w:rPr>
        <w:rFonts w:ascii="Wingdings" w:hAnsi="Wingdings" w:hint="default"/>
      </w:rPr>
    </w:lvl>
  </w:abstractNum>
  <w:abstractNum w:abstractNumId="10" w15:restartNumberingAfterBreak="0">
    <w:nsid w:val="220A11EF"/>
    <w:multiLevelType w:val="hybridMultilevel"/>
    <w:tmpl w:val="1B6C5A74"/>
    <w:lvl w:ilvl="0" w:tplc="D0D65B1E">
      <w:start w:val="1"/>
      <w:numFmt w:val="decimal"/>
      <w:lvlText w:val="%1)"/>
      <w:lvlJc w:val="left"/>
      <w:pPr>
        <w:ind w:left="644" w:hanging="360"/>
      </w:pPr>
      <w:rPr>
        <w:rFonts w:ascii="Times New Roman" w:hAnsi="Times New Roman" w:cs="Times New Roman" w:hint="default"/>
        <w:w w:val="100"/>
        <w:sz w:val="18"/>
      </w:r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abstractNum w:abstractNumId="11" w15:restartNumberingAfterBreak="0">
    <w:nsid w:val="22D85E5E"/>
    <w:multiLevelType w:val="hybridMultilevel"/>
    <w:tmpl w:val="F9447284"/>
    <w:lvl w:ilvl="0" w:tplc="2C0A0001">
      <w:start w:val="1"/>
      <w:numFmt w:val="bullet"/>
      <w:lvlText w:val=""/>
      <w:lvlJc w:val="left"/>
      <w:pPr>
        <w:ind w:left="1065" w:hanging="360"/>
      </w:pPr>
      <w:rPr>
        <w:rFonts w:ascii="Symbol" w:hAnsi="Symbol"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12" w15:restartNumberingAfterBreak="0">
    <w:nsid w:val="242300D4"/>
    <w:multiLevelType w:val="singleLevel"/>
    <w:tmpl w:val="99A61700"/>
    <w:lvl w:ilvl="0">
      <w:start w:val="1"/>
      <w:numFmt w:val="decimal"/>
      <w:lvlText w:val="(%1)"/>
      <w:lvlJc w:val="left"/>
      <w:pPr>
        <w:tabs>
          <w:tab w:val="num" w:pos="757"/>
        </w:tabs>
        <w:ind w:left="680" w:hanging="283"/>
      </w:pPr>
      <w:rPr>
        <w:rFonts w:hint="default"/>
        <w:sz w:val="13"/>
        <w:szCs w:val="13"/>
      </w:rPr>
    </w:lvl>
  </w:abstractNum>
  <w:abstractNum w:abstractNumId="13" w15:restartNumberingAfterBreak="0">
    <w:nsid w:val="28394AB0"/>
    <w:multiLevelType w:val="hybridMultilevel"/>
    <w:tmpl w:val="CC9ACEFE"/>
    <w:lvl w:ilvl="0" w:tplc="EE9C8B8A">
      <w:start w:val="1"/>
      <w:numFmt w:val="decimal"/>
      <w:lvlText w:val="(%1)"/>
      <w:lvlJc w:val="left"/>
      <w:pPr>
        <w:ind w:left="927" w:hanging="360"/>
      </w:pPr>
      <w:rPr>
        <w:rFonts w:hint="default"/>
        <w:sz w:val="14"/>
      </w:rPr>
    </w:lvl>
    <w:lvl w:ilvl="1" w:tplc="2C0A0019" w:tentative="1">
      <w:start w:val="1"/>
      <w:numFmt w:val="lowerLetter"/>
      <w:lvlText w:val="%2."/>
      <w:lvlJc w:val="left"/>
      <w:pPr>
        <w:ind w:left="1647" w:hanging="360"/>
      </w:pPr>
    </w:lvl>
    <w:lvl w:ilvl="2" w:tplc="2C0A001B" w:tentative="1">
      <w:start w:val="1"/>
      <w:numFmt w:val="lowerRoman"/>
      <w:lvlText w:val="%3."/>
      <w:lvlJc w:val="right"/>
      <w:pPr>
        <w:ind w:left="2367" w:hanging="180"/>
      </w:pPr>
    </w:lvl>
    <w:lvl w:ilvl="3" w:tplc="2C0A000F" w:tentative="1">
      <w:start w:val="1"/>
      <w:numFmt w:val="decimal"/>
      <w:lvlText w:val="%4."/>
      <w:lvlJc w:val="left"/>
      <w:pPr>
        <w:ind w:left="3087" w:hanging="360"/>
      </w:pPr>
    </w:lvl>
    <w:lvl w:ilvl="4" w:tplc="2C0A0019" w:tentative="1">
      <w:start w:val="1"/>
      <w:numFmt w:val="lowerLetter"/>
      <w:lvlText w:val="%5."/>
      <w:lvlJc w:val="left"/>
      <w:pPr>
        <w:ind w:left="3807" w:hanging="360"/>
      </w:pPr>
    </w:lvl>
    <w:lvl w:ilvl="5" w:tplc="2C0A001B" w:tentative="1">
      <w:start w:val="1"/>
      <w:numFmt w:val="lowerRoman"/>
      <w:lvlText w:val="%6."/>
      <w:lvlJc w:val="right"/>
      <w:pPr>
        <w:ind w:left="4527" w:hanging="180"/>
      </w:pPr>
    </w:lvl>
    <w:lvl w:ilvl="6" w:tplc="2C0A000F" w:tentative="1">
      <w:start w:val="1"/>
      <w:numFmt w:val="decimal"/>
      <w:lvlText w:val="%7."/>
      <w:lvlJc w:val="left"/>
      <w:pPr>
        <w:ind w:left="5247" w:hanging="360"/>
      </w:pPr>
    </w:lvl>
    <w:lvl w:ilvl="7" w:tplc="2C0A0019" w:tentative="1">
      <w:start w:val="1"/>
      <w:numFmt w:val="lowerLetter"/>
      <w:lvlText w:val="%8."/>
      <w:lvlJc w:val="left"/>
      <w:pPr>
        <w:ind w:left="5967" w:hanging="360"/>
      </w:pPr>
    </w:lvl>
    <w:lvl w:ilvl="8" w:tplc="2C0A001B" w:tentative="1">
      <w:start w:val="1"/>
      <w:numFmt w:val="lowerRoman"/>
      <w:lvlText w:val="%9."/>
      <w:lvlJc w:val="right"/>
      <w:pPr>
        <w:ind w:left="6687" w:hanging="180"/>
      </w:pPr>
    </w:lvl>
  </w:abstractNum>
  <w:abstractNum w:abstractNumId="14" w15:restartNumberingAfterBreak="0">
    <w:nsid w:val="2D4163BD"/>
    <w:multiLevelType w:val="hybridMultilevel"/>
    <w:tmpl w:val="8A30DD84"/>
    <w:lvl w:ilvl="0" w:tplc="D1FC4D3C">
      <w:start w:val="1"/>
      <w:numFmt w:val="decimal"/>
      <w:lvlText w:val="(%1)"/>
      <w:lvlJc w:val="left"/>
      <w:pPr>
        <w:ind w:left="644" w:hanging="360"/>
      </w:pPr>
      <w:rPr>
        <w:rFonts w:hint="default"/>
      </w:r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abstractNum w:abstractNumId="15" w15:restartNumberingAfterBreak="0">
    <w:nsid w:val="3493289A"/>
    <w:multiLevelType w:val="hybridMultilevel"/>
    <w:tmpl w:val="E9364FD8"/>
    <w:lvl w:ilvl="0" w:tplc="9A9CC17A">
      <w:start w:val="1"/>
      <w:numFmt w:val="lowerLetter"/>
      <w:lvlText w:val="%1)"/>
      <w:lvlJc w:val="left"/>
      <w:pPr>
        <w:ind w:left="644" w:hanging="360"/>
      </w:pPr>
      <w:rPr>
        <w:rFonts w:hint="default"/>
      </w:r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abstractNum w:abstractNumId="16" w15:restartNumberingAfterBreak="0">
    <w:nsid w:val="38251233"/>
    <w:multiLevelType w:val="hybridMultilevel"/>
    <w:tmpl w:val="ED56C2BC"/>
    <w:lvl w:ilvl="0" w:tplc="8F30960C">
      <w:start w:val="1"/>
      <w:numFmt w:val="decimal"/>
      <w:lvlText w:val="(%1)"/>
      <w:lvlJc w:val="left"/>
      <w:pPr>
        <w:ind w:left="644" w:hanging="360"/>
      </w:pPr>
      <w:rPr>
        <w:rFonts w:hint="default"/>
      </w:r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abstractNum w:abstractNumId="17" w15:restartNumberingAfterBreak="0">
    <w:nsid w:val="40217ECF"/>
    <w:multiLevelType w:val="hybridMultilevel"/>
    <w:tmpl w:val="1C264ED2"/>
    <w:lvl w:ilvl="0" w:tplc="38CEB846">
      <w:start w:val="1"/>
      <w:numFmt w:val="bullet"/>
      <w:lvlText w:val=""/>
      <w:lvlJc w:val="left"/>
      <w:pPr>
        <w:tabs>
          <w:tab w:val="num" w:pos="397"/>
        </w:tabs>
        <w:ind w:left="397" w:hanging="397"/>
      </w:pPr>
      <w:rPr>
        <w:rFonts w:ascii="Symbol" w:hAnsi="Symbol" w:hint="default"/>
      </w:rPr>
    </w:lvl>
    <w:lvl w:ilvl="1" w:tplc="0C0A0003" w:tentative="1">
      <w:start w:val="1"/>
      <w:numFmt w:val="bullet"/>
      <w:lvlText w:val="o"/>
      <w:lvlJc w:val="left"/>
      <w:pPr>
        <w:tabs>
          <w:tab w:val="num" w:pos="986"/>
        </w:tabs>
        <w:ind w:left="986" w:hanging="360"/>
      </w:pPr>
      <w:rPr>
        <w:rFonts w:ascii="Courier New" w:hAnsi="Courier New" w:cs="Courier New" w:hint="default"/>
      </w:rPr>
    </w:lvl>
    <w:lvl w:ilvl="2" w:tplc="0C0A0005" w:tentative="1">
      <w:start w:val="1"/>
      <w:numFmt w:val="bullet"/>
      <w:lvlText w:val=""/>
      <w:lvlJc w:val="left"/>
      <w:pPr>
        <w:tabs>
          <w:tab w:val="num" w:pos="1706"/>
        </w:tabs>
        <w:ind w:left="1706" w:hanging="360"/>
      </w:pPr>
      <w:rPr>
        <w:rFonts w:ascii="Wingdings" w:hAnsi="Wingdings" w:hint="default"/>
      </w:rPr>
    </w:lvl>
    <w:lvl w:ilvl="3" w:tplc="0C0A0001" w:tentative="1">
      <w:start w:val="1"/>
      <w:numFmt w:val="bullet"/>
      <w:lvlText w:val=""/>
      <w:lvlJc w:val="left"/>
      <w:pPr>
        <w:tabs>
          <w:tab w:val="num" w:pos="2426"/>
        </w:tabs>
        <w:ind w:left="2426" w:hanging="360"/>
      </w:pPr>
      <w:rPr>
        <w:rFonts w:ascii="Symbol" w:hAnsi="Symbol" w:hint="default"/>
      </w:rPr>
    </w:lvl>
    <w:lvl w:ilvl="4" w:tplc="0C0A0003" w:tentative="1">
      <w:start w:val="1"/>
      <w:numFmt w:val="bullet"/>
      <w:lvlText w:val="o"/>
      <w:lvlJc w:val="left"/>
      <w:pPr>
        <w:tabs>
          <w:tab w:val="num" w:pos="3146"/>
        </w:tabs>
        <w:ind w:left="3146" w:hanging="360"/>
      </w:pPr>
      <w:rPr>
        <w:rFonts w:ascii="Courier New" w:hAnsi="Courier New" w:cs="Courier New" w:hint="default"/>
      </w:rPr>
    </w:lvl>
    <w:lvl w:ilvl="5" w:tplc="0C0A0005" w:tentative="1">
      <w:start w:val="1"/>
      <w:numFmt w:val="bullet"/>
      <w:lvlText w:val=""/>
      <w:lvlJc w:val="left"/>
      <w:pPr>
        <w:tabs>
          <w:tab w:val="num" w:pos="3866"/>
        </w:tabs>
        <w:ind w:left="3866" w:hanging="360"/>
      </w:pPr>
      <w:rPr>
        <w:rFonts w:ascii="Wingdings" w:hAnsi="Wingdings" w:hint="default"/>
      </w:rPr>
    </w:lvl>
    <w:lvl w:ilvl="6" w:tplc="0C0A0001" w:tentative="1">
      <w:start w:val="1"/>
      <w:numFmt w:val="bullet"/>
      <w:lvlText w:val=""/>
      <w:lvlJc w:val="left"/>
      <w:pPr>
        <w:tabs>
          <w:tab w:val="num" w:pos="4586"/>
        </w:tabs>
        <w:ind w:left="4586" w:hanging="360"/>
      </w:pPr>
      <w:rPr>
        <w:rFonts w:ascii="Symbol" w:hAnsi="Symbol" w:hint="default"/>
      </w:rPr>
    </w:lvl>
    <w:lvl w:ilvl="7" w:tplc="0C0A0003" w:tentative="1">
      <w:start w:val="1"/>
      <w:numFmt w:val="bullet"/>
      <w:lvlText w:val="o"/>
      <w:lvlJc w:val="left"/>
      <w:pPr>
        <w:tabs>
          <w:tab w:val="num" w:pos="5306"/>
        </w:tabs>
        <w:ind w:left="5306" w:hanging="360"/>
      </w:pPr>
      <w:rPr>
        <w:rFonts w:ascii="Courier New" w:hAnsi="Courier New" w:cs="Courier New" w:hint="default"/>
      </w:rPr>
    </w:lvl>
    <w:lvl w:ilvl="8" w:tplc="0C0A0005" w:tentative="1">
      <w:start w:val="1"/>
      <w:numFmt w:val="bullet"/>
      <w:lvlText w:val=""/>
      <w:lvlJc w:val="left"/>
      <w:pPr>
        <w:tabs>
          <w:tab w:val="num" w:pos="6026"/>
        </w:tabs>
        <w:ind w:left="6026" w:hanging="360"/>
      </w:pPr>
      <w:rPr>
        <w:rFonts w:ascii="Wingdings" w:hAnsi="Wingdings" w:hint="default"/>
      </w:rPr>
    </w:lvl>
  </w:abstractNum>
  <w:abstractNum w:abstractNumId="18" w15:restartNumberingAfterBreak="0">
    <w:nsid w:val="41AB1008"/>
    <w:multiLevelType w:val="hybridMultilevel"/>
    <w:tmpl w:val="8DEABC5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4532540F"/>
    <w:multiLevelType w:val="singleLevel"/>
    <w:tmpl w:val="E70C6DCA"/>
    <w:lvl w:ilvl="0">
      <w:start w:val="1"/>
      <w:numFmt w:val="decimal"/>
      <w:lvlText w:val="(%1)"/>
      <w:lvlJc w:val="left"/>
      <w:pPr>
        <w:tabs>
          <w:tab w:val="num" w:pos="927"/>
        </w:tabs>
        <w:ind w:left="927" w:hanging="360"/>
      </w:pPr>
      <w:rPr>
        <w:rFonts w:hint="default"/>
      </w:rPr>
    </w:lvl>
  </w:abstractNum>
  <w:abstractNum w:abstractNumId="20" w15:restartNumberingAfterBreak="0">
    <w:nsid w:val="458A0582"/>
    <w:multiLevelType w:val="singleLevel"/>
    <w:tmpl w:val="E70C6DCA"/>
    <w:lvl w:ilvl="0">
      <w:start w:val="1"/>
      <w:numFmt w:val="decimal"/>
      <w:lvlText w:val="(%1)"/>
      <w:lvlJc w:val="left"/>
      <w:pPr>
        <w:tabs>
          <w:tab w:val="num" w:pos="927"/>
        </w:tabs>
        <w:ind w:left="927" w:hanging="360"/>
      </w:pPr>
      <w:rPr>
        <w:rFonts w:hint="default"/>
      </w:rPr>
    </w:lvl>
  </w:abstractNum>
  <w:abstractNum w:abstractNumId="21" w15:restartNumberingAfterBreak="0">
    <w:nsid w:val="467B1547"/>
    <w:multiLevelType w:val="hybridMultilevel"/>
    <w:tmpl w:val="29DE7F12"/>
    <w:lvl w:ilvl="0" w:tplc="2C0A0001">
      <w:start w:val="1"/>
      <w:numFmt w:val="bullet"/>
      <w:lvlText w:val=""/>
      <w:lvlJc w:val="left"/>
      <w:pPr>
        <w:ind w:left="432" w:hanging="360"/>
      </w:pPr>
      <w:rPr>
        <w:rFonts w:ascii="Symbol" w:hAnsi="Symbol" w:hint="default"/>
      </w:rPr>
    </w:lvl>
    <w:lvl w:ilvl="1" w:tplc="2C0A0003">
      <w:start w:val="1"/>
      <w:numFmt w:val="bullet"/>
      <w:lvlText w:val="o"/>
      <w:lvlJc w:val="left"/>
      <w:pPr>
        <w:ind w:left="1152" w:hanging="360"/>
      </w:pPr>
      <w:rPr>
        <w:rFonts w:ascii="Courier New" w:hAnsi="Courier New" w:cs="Courier New" w:hint="default"/>
      </w:rPr>
    </w:lvl>
    <w:lvl w:ilvl="2" w:tplc="2C0A0005" w:tentative="1">
      <w:start w:val="1"/>
      <w:numFmt w:val="bullet"/>
      <w:lvlText w:val=""/>
      <w:lvlJc w:val="left"/>
      <w:pPr>
        <w:ind w:left="1872" w:hanging="360"/>
      </w:pPr>
      <w:rPr>
        <w:rFonts w:ascii="Wingdings" w:hAnsi="Wingdings" w:hint="default"/>
      </w:rPr>
    </w:lvl>
    <w:lvl w:ilvl="3" w:tplc="2C0A0001" w:tentative="1">
      <w:start w:val="1"/>
      <w:numFmt w:val="bullet"/>
      <w:lvlText w:val=""/>
      <w:lvlJc w:val="left"/>
      <w:pPr>
        <w:ind w:left="2592" w:hanging="360"/>
      </w:pPr>
      <w:rPr>
        <w:rFonts w:ascii="Symbol" w:hAnsi="Symbol" w:hint="default"/>
      </w:rPr>
    </w:lvl>
    <w:lvl w:ilvl="4" w:tplc="2C0A0003" w:tentative="1">
      <w:start w:val="1"/>
      <w:numFmt w:val="bullet"/>
      <w:lvlText w:val="o"/>
      <w:lvlJc w:val="left"/>
      <w:pPr>
        <w:ind w:left="3312" w:hanging="360"/>
      </w:pPr>
      <w:rPr>
        <w:rFonts w:ascii="Courier New" w:hAnsi="Courier New" w:cs="Courier New" w:hint="default"/>
      </w:rPr>
    </w:lvl>
    <w:lvl w:ilvl="5" w:tplc="2C0A0005" w:tentative="1">
      <w:start w:val="1"/>
      <w:numFmt w:val="bullet"/>
      <w:lvlText w:val=""/>
      <w:lvlJc w:val="left"/>
      <w:pPr>
        <w:ind w:left="4032" w:hanging="360"/>
      </w:pPr>
      <w:rPr>
        <w:rFonts w:ascii="Wingdings" w:hAnsi="Wingdings" w:hint="default"/>
      </w:rPr>
    </w:lvl>
    <w:lvl w:ilvl="6" w:tplc="2C0A0001" w:tentative="1">
      <w:start w:val="1"/>
      <w:numFmt w:val="bullet"/>
      <w:lvlText w:val=""/>
      <w:lvlJc w:val="left"/>
      <w:pPr>
        <w:ind w:left="4752" w:hanging="360"/>
      </w:pPr>
      <w:rPr>
        <w:rFonts w:ascii="Symbol" w:hAnsi="Symbol" w:hint="default"/>
      </w:rPr>
    </w:lvl>
    <w:lvl w:ilvl="7" w:tplc="2C0A0003" w:tentative="1">
      <w:start w:val="1"/>
      <w:numFmt w:val="bullet"/>
      <w:lvlText w:val="o"/>
      <w:lvlJc w:val="left"/>
      <w:pPr>
        <w:ind w:left="5472" w:hanging="360"/>
      </w:pPr>
      <w:rPr>
        <w:rFonts w:ascii="Courier New" w:hAnsi="Courier New" w:cs="Courier New" w:hint="default"/>
      </w:rPr>
    </w:lvl>
    <w:lvl w:ilvl="8" w:tplc="2C0A0005" w:tentative="1">
      <w:start w:val="1"/>
      <w:numFmt w:val="bullet"/>
      <w:lvlText w:val=""/>
      <w:lvlJc w:val="left"/>
      <w:pPr>
        <w:ind w:left="6192" w:hanging="360"/>
      </w:pPr>
      <w:rPr>
        <w:rFonts w:ascii="Wingdings" w:hAnsi="Wingdings" w:hint="default"/>
      </w:rPr>
    </w:lvl>
  </w:abstractNum>
  <w:abstractNum w:abstractNumId="22" w15:restartNumberingAfterBreak="0">
    <w:nsid w:val="46DD3FB3"/>
    <w:multiLevelType w:val="multilevel"/>
    <w:tmpl w:val="179E60DA"/>
    <w:lvl w:ilvl="0">
      <w:start w:val="1"/>
      <w:numFmt w:val="bullet"/>
      <w:lvlText w:val=""/>
      <w:lvlJc w:val="left"/>
      <w:pPr>
        <w:tabs>
          <w:tab w:val="num" w:pos="720"/>
        </w:tabs>
        <w:ind w:left="720" w:hanging="360"/>
      </w:pPr>
      <w:rPr>
        <w:rFonts w:ascii="Wingdings" w:hAnsi="Wingdings" w:hint="default"/>
        <w:color w:val="auto"/>
        <w:sz w:val="20"/>
        <w:szCs w:val="20"/>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E7E0EE4"/>
    <w:multiLevelType w:val="hybridMultilevel"/>
    <w:tmpl w:val="F8A6ACD6"/>
    <w:lvl w:ilvl="0" w:tplc="2C0A0001">
      <w:start w:val="1"/>
      <w:numFmt w:val="bullet"/>
      <w:lvlText w:val=""/>
      <w:lvlJc w:val="left"/>
      <w:pPr>
        <w:ind w:left="1004" w:hanging="360"/>
      </w:pPr>
      <w:rPr>
        <w:rFonts w:ascii="Symbol" w:hAnsi="Symbol" w:hint="default"/>
      </w:rPr>
    </w:lvl>
    <w:lvl w:ilvl="1" w:tplc="2C0A0003" w:tentative="1">
      <w:start w:val="1"/>
      <w:numFmt w:val="bullet"/>
      <w:lvlText w:val="o"/>
      <w:lvlJc w:val="left"/>
      <w:pPr>
        <w:ind w:left="1724" w:hanging="360"/>
      </w:pPr>
      <w:rPr>
        <w:rFonts w:ascii="Courier New" w:hAnsi="Courier New" w:cs="Courier New" w:hint="default"/>
      </w:rPr>
    </w:lvl>
    <w:lvl w:ilvl="2" w:tplc="2C0A0005" w:tentative="1">
      <w:start w:val="1"/>
      <w:numFmt w:val="bullet"/>
      <w:lvlText w:val=""/>
      <w:lvlJc w:val="left"/>
      <w:pPr>
        <w:ind w:left="2444" w:hanging="360"/>
      </w:pPr>
      <w:rPr>
        <w:rFonts w:ascii="Wingdings" w:hAnsi="Wingdings" w:hint="default"/>
      </w:rPr>
    </w:lvl>
    <w:lvl w:ilvl="3" w:tplc="2C0A0001" w:tentative="1">
      <w:start w:val="1"/>
      <w:numFmt w:val="bullet"/>
      <w:lvlText w:val=""/>
      <w:lvlJc w:val="left"/>
      <w:pPr>
        <w:ind w:left="3164" w:hanging="360"/>
      </w:pPr>
      <w:rPr>
        <w:rFonts w:ascii="Symbol" w:hAnsi="Symbol" w:hint="default"/>
      </w:rPr>
    </w:lvl>
    <w:lvl w:ilvl="4" w:tplc="2C0A0003" w:tentative="1">
      <w:start w:val="1"/>
      <w:numFmt w:val="bullet"/>
      <w:lvlText w:val="o"/>
      <w:lvlJc w:val="left"/>
      <w:pPr>
        <w:ind w:left="3884" w:hanging="360"/>
      </w:pPr>
      <w:rPr>
        <w:rFonts w:ascii="Courier New" w:hAnsi="Courier New" w:cs="Courier New" w:hint="default"/>
      </w:rPr>
    </w:lvl>
    <w:lvl w:ilvl="5" w:tplc="2C0A0005" w:tentative="1">
      <w:start w:val="1"/>
      <w:numFmt w:val="bullet"/>
      <w:lvlText w:val=""/>
      <w:lvlJc w:val="left"/>
      <w:pPr>
        <w:ind w:left="4604" w:hanging="360"/>
      </w:pPr>
      <w:rPr>
        <w:rFonts w:ascii="Wingdings" w:hAnsi="Wingdings" w:hint="default"/>
      </w:rPr>
    </w:lvl>
    <w:lvl w:ilvl="6" w:tplc="2C0A0001" w:tentative="1">
      <w:start w:val="1"/>
      <w:numFmt w:val="bullet"/>
      <w:lvlText w:val=""/>
      <w:lvlJc w:val="left"/>
      <w:pPr>
        <w:ind w:left="5324" w:hanging="360"/>
      </w:pPr>
      <w:rPr>
        <w:rFonts w:ascii="Symbol" w:hAnsi="Symbol" w:hint="default"/>
      </w:rPr>
    </w:lvl>
    <w:lvl w:ilvl="7" w:tplc="2C0A0003" w:tentative="1">
      <w:start w:val="1"/>
      <w:numFmt w:val="bullet"/>
      <w:lvlText w:val="o"/>
      <w:lvlJc w:val="left"/>
      <w:pPr>
        <w:ind w:left="6044" w:hanging="360"/>
      </w:pPr>
      <w:rPr>
        <w:rFonts w:ascii="Courier New" w:hAnsi="Courier New" w:cs="Courier New" w:hint="default"/>
      </w:rPr>
    </w:lvl>
    <w:lvl w:ilvl="8" w:tplc="2C0A0005" w:tentative="1">
      <w:start w:val="1"/>
      <w:numFmt w:val="bullet"/>
      <w:lvlText w:val=""/>
      <w:lvlJc w:val="left"/>
      <w:pPr>
        <w:ind w:left="6764" w:hanging="360"/>
      </w:pPr>
      <w:rPr>
        <w:rFonts w:ascii="Wingdings" w:hAnsi="Wingdings" w:hint="default"/>
      </w:rPr>
    </w:lvl>
  </w:abstractNum>
  <w:abstractNum w:abstractNumId="24" w15:restartNumberingAfterBreak="0">
    <w:nsid w:val="4F900F98"/>
    <w:multiLevelType w:val="hybridMultilevel"/>
    <w:tmpl w:val="C276D5BA"/>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51950ABE"/>
    <w:multiLevelType w:val="hybridMultilevel"/>
    <w:tmpl w:val="F7727946"/>
    <w:lvl w:ilvl="0" w:tplc="E480A61C">
      <w:numFmt w:val="bullet"/>
      <w:lvlText w:val=""/>
      <w:lvlJc w:val="left"/>
      <w:pPr>
        <w:ind w:left="644" w:hanging="360"/>
      </w:pPr>
      <w:rPr>
        <w:rFonts w:ascii="Symbol" w:eastAsia="Times New Roman" w:hAnsi="Symbol" w:cs="Arial" w:hint="default"/>
      </w:rPr>
    </w:lvl>
    <w:lvl w:ilvl="1" w:tplc="2C0A0003" w:tentative="1">
      <w:start w:val="1"/>
      <w:numFmt w:val="bullet"/>
      <w:lvlText w:val="o"/>
      <w:lvlJc w:val="left"/>
      <w:pPr>
        <w:ind w:left="1364" w:hanging="360"/>
      </w:pPr>
      <w:rPr>
        <w:rFonts w:ascii="Courier New" w:hAnsi="Courier New" w:cs="Courier New" w:hint="default"/>
      </w:rPr>
    </w:lvl>
    <w:lvl w:ilvl="2" w:tplc="2C0A0005" w:tentative="1">
      <w:start w:val="1"/>
      <w:numFmt w:val="bullet"/>
      <w:lvlText w:val=""/>
      <w:lvlJc w:val="left"/>
      <w:pPr>
        <w:ind w:left="2084" w:hanging="360"/>
      </w:pPr>
      <w:rPr>
        <w:rFonts w:ascii="Wingdings" w:hAnsi="Wingdings" w:hint="default"/>
      </w:rPr>
    </w:lvl>
    <w:lvl w:ilvl="3" w:tplc="2C0A0001" w:tentative="1">
      <w:start w:val="1"/>
      <w:numFmt w:val="bullet"/>
      <w:lvlText w:val=""/>
      <w:lvlJc w:val="left"/>
      <w:pPr>
        <w:ind w:left="2804" w:hanging="360"/>
      </w:pPr>
      <w:rPr>
        <w:rFonts w:ascii="Symbol" w:hAnsi="Symbol" w:hint="default"/>
      </w:rPr>
    </w:lvl>
    <w:lvl w:ilvl="4" w:tplc="2C0A0003" w:tentative="1">
      <w:start w:val="1"/>
      <w:numFmt w:val="bullet"/>
      <w:lvlText w:val="o"/>
      <w:lvlJc w:val="left"/>
      <w:pPr>
        <w:ind w:left="3524" w:hanging="360"/>
      </w:pPr>
      <w:rPr>
        <w:rFonts w:ascii="Courier New" w:hAnsi="Courier New" w:cs="Courier New" w:hint="default"/>
      </w:rPr>
    </w:lvl>
    <w:lvl w:ilvl="5" w:tplc="2C0A0005" w:tentative="1">
      <w:start w:val="1"/>
      <w:numFmt w:val="bullet"/>
      <w:lvlText w:val=""/>
      <w:lvlJc w:val="left"/>
      <w:pPr>
        <w:ind w:left="4244" w:hanging="360"/>
      </w:pPr>
      <w:rPr>
        <w:rFonts w:ascii="Wingdings" w:hAnsi="Wingdings" w:hint="default"/>
      </w:rPr>
    </w:lvl>
    <w:lvl w:ilvl="6" w:tplc="2C0A0001" w:tentative="1">
      <w:start w:val="1"/>
      <w:numFmt w:val="bullet"/>
      <w:lvlText w:val=""/>
      <w:lvlJc w:val="left"/>
      <w:pPr>
        <w:ind w:left="4964" w:hanging="360"/>
      </w:pPr>
      <w:rPr>
        <w:rFonts w:ascii="Symbol" w:hAnsi="Symbol" w:hint="default"/>
      </w:rPr>
    </w:lvl>
    <w:lvl w:ilvl="7" w:tplc="2C0A0003" w:tentative="1">
      <w:start w:val="1"/>
      <w:numFmt w:val="bullet"/>
      <w:lvlText w:val="o"/>
      <w:lvlJc w:val="left"/>
      <w:pPr>
        <w:ind w:left="5684" w:hanging="360"/>
      </w:pPr>
      <w:rPr>
        <w:rFonts w:ascii="Courier New" w:hAnsi="Courier New" w:cs="Courier New" w:hint="default"/>
      </w:rPr>
    </w:lvl>
    <w:lvl w:ilvl="8" w:tplc="2C0A0005" w:tentative="1">
      <w:start w:val="1"/>
      <w:numFmt w:val="bullet"/>
      <w:lvlText w:val=""/>
      <w:lvlJc w:val="left"/>
      <w:pPr>
        <w:ind w:left="6404" w:hanging="360"/>
      </w:pPr>
      <w:rPr>
        <w:rFonts w:ascii="Wingdings" w:hAnsi="Wingdings" w:hint="default"/>
      </w:rPr>
    </w:lvl>
  </w:abstractNum>
  <w:abstractNum w:abstractNumId="26" w15:restartNumberingAfterBreak="0">
    <w:nsid w:val="54A3408F"/>
    <w:multiLevelType w:val="hybridMultilevel"/>
    <w:tmpl w:val="C33EAB14"/>
    <w:lvl w:ilvl="0" w:tplc="7268809E">
      <w:start w:val="1"/>
      <w:numFmt w:val="decimal"/>
      <w:lvlText w:val="(%1)"/>
      <w:lvlJc w:val="left"/>
      <w:pPr>
        <w:ind w:left="720" w:hanging="360"/>
      </w:pPr>
      <w:rPr>
        <w:rFonts w:hint="default"/>
        <w:sz w:val="16"/>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556B24E1"/>
    <w:multiLevelType w:val="hybridMultilevel"/>
    <w:tmpl w:val="2EB423A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15:restartNumberingAfterBreak="0">
    <w:nsid w:val="62F81CD8"/>
    <w:multiLevelType w:val="hybridMultilevel"/>
    <w:tmpl w:val="0CF6A000"/>
    <w:lvl w:ilvl="0" w:tplc="2C0A0001">
      <w:start w:val="1"/>
      <w:numFmt w:val="bullet"/>
      <w:lvlText w:val=""/>
      <w:lvlJc w:val="left"/>
      <w:pPr>
        <w:ind w:left="1080" w:hanging="720"/>
      </w:pPr>
      <w:rPr>
        <w:rFonts w:ascii="Symbol" w:hAnsi="Symbo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6F80552D"/>
    <w:multiLevelType w:val="singleLevel"/>
    <w:tmpl w:val="E70C6DCA"/>
    <w:lvl w:ilvl="0">
      <w:start w:val="1"/>
      <w:numFmt w:val="decimal"/>
      <w:lvlText w:val="(%1)"/>
      <w:lvlJc w:val="left"/>
      <w:pPr>
        <w:tabs>
          <w:tab w:val="num" w:pos="927"/>
        </w:tabs>
        <w:ind w:left="927" w:hanging="360"/>
      </w:pPr>
      <w:rPr>
        <w:rFonts w:hint="default"/>
      </w:rPr>
    </w:lvl>
  </w:abstractNum>
  <w:abstractNum w:abstractNumId="30" w15:restartNumberingAfterBreak="0">
    <w:nsid w:val="74A0E7E4"/>
    <w:multiLevelType w:val="hybridMultilevel"/>
    <w:tmpl w:val="EC82A65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5F1665F"/>
    <w:multiLevelType w:val="singleLevel"/>
    <w:tmpl w:val="99A61700"/>
    <w:lvl w:ilvl="0">
      <w:start w:val="1"/>
      <w:numFmt w:val="decimal"/>
      <w:lvlText w:val="(%1)"/>
      <w:lvlJc w:val="left"/>
      <w:pPr>
        <w:tabs>
          <w:tab w:val="num" w:pos="757"/>
        </w:tabs>
        <w:ind w:left="680" w:hanging="283"/>
      </w:pPr>
      <w:rPr>
        <w:rFonts w:hint="default"/>
        <w:sz w:val="13"/>
        <w:szCs w:val="13"/>
      </w:rPr>
    </w:lvl>
  </w:abstractNum>
  <w:abstractNum w:abstractNumId="32" w15:restartNumberingAfterBreak="0">
    <w:nsid w:val="7C7D1448"/>
    <w:multiLevelType w:val="hybridMultilevel"/>
    <w:tmpl w:val="9D846BBC"/>
    <w:lvl w:ilvl="0" w:tplc="2C0A0001">
      <w:start w:val="1"/>
      <w:numFmt w:val="bullet"/>
      <w:lvlText w:val=""/>
      <w:lvlJc w:val="left"/>
      <w:pPr>
        <w:ind w:left="1004" w:hanging="360"/>
      </w:pPr>
      <w:rPr>
        <w:rFonts w:ascii="Symbol" w:hAnsi="Symbol" w:hint="default"/>
      </w:rPr>
    </w:lvl>
    <w:lvl w:ilvl="1" w:tplc="2C0A0003" w:tentative="1">
      <w:start w:val="1"/>
      <w:numFmt w:val="bullet"/>
      <w:lvlText w:val="o"/>
      <w:lvlJc w:val="left"/>
      <w:pPr>
        <w:ind w:left="1724" w:hanging="360"/>
      </w:pPr>
      <w:rPr>
        <w:rFonts w:ascii="Courier New" w:hAnsi="Courier New" w:cs="Courier New" w:hint="default"/>
      </w:rPr>
    </w:lvl>
    <w:lvl w:ilvl="2" w:tplc="2C0A0005" w:tentative="1">
      <w:start w:val="1"/>
      <w:numFmt w:val="bullet"/>
      <w:lvlText w:val=""/>
      <w:lvlJc w:val="left"/>
      <w:pPr>
        <w:ind w:left="2444" w:hanging="360"/>
      </w:pPr>
      <w:rPr>
        <w:rFonts w:ascii="Wingdings" w:hAnsi="Wingdings" w:hint="default"/>
      </w:rPr>
    </w:lvl>
    <w:lvl w:ilvl="3" w:tplc="2C0A0001" w:tentative="1">
      <w:start w:val="1"/>
      <w:numFmt w:val="bullet"/>
      <w:lvlText w:val=""/>
      <w:lvlJc w:val="left"/>
      <w:pPr>
        <w:ind w:left="3164" w:hanging="360"/>
      </w:pPr>
      <w:rPr>
        <w:rFonts w:ascii="Symbol" w:hAnsi="Symbol" w:hint="default"/>
      </w:rPr>
    </w:lvl>
    <w:lvl w:ilvl="4" w:tplc="2C0A0003" w:tentative="1">
      <w:start w:val="1"/>
      <w:numFmt w:val="bullet"/>
      <w:lvlText w:val="o"/>
      <w:lvlJc w:val="left"/>
      <w:pPr>
        <w:ind w:left="3884" w:hanging="360"/>
      </w:pPr>
      <w:rPr>
        <w:rFonts w:ascii="Courier New" w:hAnsi="Courier New" w:cs="Courier New" w:hint="default"/>
      </w:rPr>
    </w:lvl>
    <w:lvl w:ilvl="5" w:tplc="2C0A0005" w:tentative="1">
      <w:start w:val="1"/>
      <w:numFmt w:val="bullet"/>
      <w:lvlText w:val=""/>
      <w:lvlJc w:val="left"/>
      <w:pPr>
        <w:ind w:left="4604" w:hanging="360"/>
      </w:pPr>
      <w:rPr>
        <w:rFonts w:ascii="Wingdings" w:hAnsi="Wingdings" w:hint="default"/>
      </w:rPr>
    </w:lvl>
    <w:lvl w:ilvl="6" w:tplc="2C0A0001" w:tentative="1">
      <w:start w:val="1"/>
      <w:numFmt w:val="bullet"/>
      <w:lvlText w:val=""/>
      <w:lvlJc w:val="left"/>
      <w:pPr>
        <w:ind w:left="5324" w:hanging="360"/>
      </w:pPr>
      <w:rPr>
        <w:rFonts w:ascii="Symbol" w:hAnsi="Symbol" w:hint="default"/>
      </w:rPr>
    </w:lvl>
    <w:lvl w:ilvl="7" w:tplc="2C0A0003" w:tentative="1">
      <w:start w:val="1"/>
      <w:numFmt w:val="bullet"/>
      <w:lvlText w:val="o"/>
      <w:lvlJc w:val="left"/>
      <w:pPr>
        <w:ind w:left="6044" w:hanging="360"/>
      </w:pPr>
      <w:rPr>
        <w:rFonts w:ascii="Courier New" w:hAnsi="Courier New" w:cs="Courier New" w:hint="default"/>
      </w:rPr>
    </w:lvl>
    <w:lvl w:ilvl="8" w:tplc="2C0A0005" w:tentative="1">
      <w:start w:val="1"/>
      <w:numFmt w:val="bullet"/>
      <w:lvlText w:val=""/>
      <w:lvlJc w:val="left"/>
      <w:pPr>
        <w:ind w:left="6764" w:hanging="360"/>
      </w:pPr>
      <w:rPr>
        <w:rFonts w:ascii="Wingdings" w:hAnsi="Wingdings" w:hint="default"/>
      </w:rPr>
    </w:lvl>
  </w:abstractNum>
  <w:abstractNum w:abstractNumId="33" w15:restartNumberingAfterBreak="0">
    <w:nsid w:val="7F222237"/>
    <w:multiLevelType w:val="hybridMultilevel"/>
    <w:tmpl w:val="AAEA5FB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4"/>
  </w:num>
  <w:num w:numId="2">
    <w:abstractNumId w:val="20"/>
  </w:num>
  <w:num w:numId="3">
    <w:abstractNumId w:val="31"/>
  </w:num>
  <w:num w:numId="4">
    <w:abstractNumId w:val="25"/>
  </w:num>
  <w:num w:numId="5">
    <w:abstractNumId w:val="21"/>
  </w:num>
  <w:num w:numId="6">
    <w:abstractNumId w:val="12"/>
  </w:num>
  <w:num w:numId="7">
    <w:abstractNumId w:val="9"/>
  </w:num>
  <w:num w:numId="8">
    <w:abstractNumId w:val="32"/>
  </w:num>
  <w:num w:numId="9">
    <w:abstractNumId w:val="27"/>
  </w:num>
  <w:num w:numId="10">
    <w:abstractNumId w:val="23"/>
  </w:num>
  <w:num w:numId="11">
    <w:abstractNumId w:val="15"/>
  </w:num>
  <w:num w:numId="12">
    <w:abstractNumId w:val="28"/>
  </w:num>
  <w:num w:numId="13">
    <w:abstractNumId w:val="26"/>
  </w:num>
  <w:num w:numId="14">
    <w:abstractNumId w:val="33"/>
  </w:num>
  <w:num w:numId="15">
    <w:abstractNumId w:val="8"/>
  </w:num>
  <w:num w:numId="16">
    <w:abstractNumId w:val="17"/>
  </w:num>
  <w:num w:numId="17">
    <w:abstractNumId w:val="22"/>
  </w:num>
  <w:num w:numId="18">
    <w:abstractNumId w:val="11"/>
  </w:num>
  <w:num w:numId="19">
    <w:abstractNumId w:val="18"/>
  </w:num>
  <w:num w:numId="20">
    <w:abstractNumId w:val="16"/>
  </w:num>
  <w:num w:numId="21">
    <w:abstractNumId w:val="14"/>
  </w:num>
  <w:num w:numId="22">
    <w:abstractNumId w:val="0"/>
  </w:num>
  <w:num w:numId="23">
    <w:abstractNumId w:val="30"/>
  </w:num>
  <w:num w:numId="24">
    <w:abstractNumId w:val="6"/>
  </w:num>
  <w:num w:numId="25">
    <w:abstractNumId w:val="2"/>
  </w:num>
  <w:num w:numId="26">
    <w:abstractNumId w:val="5"/>
  </w:num>
  <w:num w:numId="27">
    <w:abstractNumId w:val="4"/>
  </w:num>
  <w:num w:numId="28">
    <w:abstractNumId w:val="13"/>
  </w:num>
  <w:num w:numId="29">
    <w:abstractNumId w:val="29"/>
  </w:num>
  <w:num w:numId="30">
    <w:abstractNumId w:val="19"/>
  </w:num>
  <w:num w:numId="31">
    <w:abstractNumId w:val="7"/>
  </w:num>
  <w:num w:numId="32">
    <w:abstractNumId w:val="3"/>
  </w:num>
  <w:num w:numId="33">
    <w:abstractNumId w:val="10"/>
  </w:num>
  <w:num w:numId="3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9456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Version" w:val="5.0"/>
  </w:docVars>
  <w:rsids>
    <w:rsidRoot w:val="00867712"/>
    <w:rsid w:val="00000E16"/>
    <w:rsid w:val="00001B1C"/>
    <w:rsid w:val="00001D5B"/>
    <w:rsid w:val="00002196"/>
    <w:rsid w:val="00003369"/>
    <w:rsid w:val="00003B51"/>
    <w:rsid w:val="00004085"/>
    <w:rsid w:val="000042DC"/>
    <w:rsid w:val="00004C1A"/>
    <w:rsid w:val="00005555"/>
    <w:rsid w:val="00006E7B"/>
    <w:rsid w:val="000075C6"/>
    <w:rsid w:val="0001048F"/>
    <w:rsid w:val="00010638"/>
    <w:rsid w:val="000109C0"/>
    <w:rsid w:val="0001148A"/>
    <w:rsid w:val="00011F55"/>
    <w:rsid w:val="00012420"/>
    <w:rsid w:val="000135BD"/>
    <w:rsid w:val="000138B4"/>
    <w:rsid w:val="00013A1D"/>
    <w:rsid w:val="00013A3B"/>
    <w:rsid w:val="0001448E"/>
    <w:rsid w:val="00014C44"/>
    <w:rsid w:val="00014C56"/>
    <w:rsid w:val="00014CE6"/>
    <w:rsid w:val="00015303"/>
    <w:rsid w:val="00015367"/>
    <w:rsid w:val="000155A8"/>
    <w:rsid w:val="00015888"/>
    <w:rsid w:val="000158A0"/>
    <w:rsid w:val="00015D58"/>
    <w:rsid w:val="000160A2"/>
    <w:rsid w:val="000160D7"/>
    <w:rsid w:val="0001657D"/>
    <w:rsid w:val="000167CC"/>
    <w:rsid w:val="000167DA"/>
    <w:rsid w:val="00016E0C"/>
    <w:rsid w:val="000175AC"/>
    <w:rsid w:val="00017E0D"/>
    <w:rsid w:val="00021198"/>
    <w:rsid w:val="00021290"/>
    <w:rsid w:val="0002170E"/>
    <w:rsid w:val="000234E6"/>
    <w:rsid w:val="00024C1B"/>
    <w:rsid w:val="00025346"/>
    <w:rsid w:val="000255B6"/>
    <w:rsid w:val="00025B45"/>
    <w:rsid w:val="00025E93"/>
    <w:rsid w:val="00026A14"/>
    <w:rsid w:val="00027179"/>
    <w:rsid w:val="0002754C"/>
    <w:rsid w:val="0002784E"/>
    <w:rsid w:val="00027863"/>
    <w:rsid w:val="00027A96"/>
    <w:rsid w:val="0003025D"/>
    <w:rsid w:val="000308A7"/>
    <w:rsid w:val="000308FF"/>
    <w:rsid w:val="0003096F"/>
    <w:rsid w:val="00030A51"/>
    <w:rsid w:val="00030FA7"/>
    <w:rsid w:val="00031CF8"/>
    <w:rsid w:val="00031DB9"/>
    <w:rsid w:val="00031E59"/>
    <w:rsid w:val="00032122"/>
    <w:rsid w:val="000325A5"/>
    <w:rsid w:val="00032F39"/>
    <w:rsid w:val="0003409A"/>
    <w:rsid w:val="0003444D"/>
    <w:rsid w:val="0003520B"/>
    <w:rsid w:val="00035498"/>
    <w:rsid w:val="00035619"/>
    <w:rsid w:val="00035F87"/>
    <w:rsid w:val="000365F2"/>
    <w:rsid w:val="00037471"/>
    <w:rsid w:val="000374B9"/>
    <w:rsid w:val="00037A3E"/>
    <w:rsid w:val="00037FC9"/>
    <w:rsid w:val="00040058"/>
    <w:rsid w:val="00040229"/>
    <w:rsid w:val="00040408"/>
    <w:rsid w:val="00040A49"/>
    <w:rsid w:val="00040C23"/>
    <w:rsid w:val="000414F6"/>
    <w:rsid w:val="0004157A"/>
    <w:rsid w:val="000417B0"/>
    <w:rsid w:val="000424B3"/>
    <w:rsid w:val="00043AAE"/>
    <w:rsid w:val="00043BE5"/>
    <w:rsid w:val="00043D6A"/>
    <w:rsid w:val="00043F22"/>
    <w:rsid w:val="00044BA5"/>
    <w:rsid w:val="000460AF"/>
    <w:rsid w:val="00046249"/>
    <w:rsid w:val="0004630A"/>
    <w:rsid w:val="000467FC"/>
    <w:rsid w:val="0004696B"/>
    <w:rsid w:val="00046E66"/>
    <w:rsid w:val="00047045"/>
    <w:rsid w:val="000479BB"/>
    <w:rsid w:val="00047A27"/>
    <w:rsid w:val="00047C9C"/>
    <w:rsid w:val="00047CEA"/>
    <w:rsid w:val="00047EC6"/>
    <w:rsid w:val="00050089"/>
    <w:rsid w:val="0005053D"/>
    <w:rsid w:val="000507C0"/>
    <w:rsid w:val="00050C17"/>
    <w:rsid w:val="0005152A"/>
    <w:rsid w:val="00051560"/>
    <w:rsid w:val="00051653"/>
    <w:rsid w:val="0005191C"/>
    <w:rsid w:val="00051B8E"/>
    <w:rsid w:val="00052074"/>
    <w:rsid w:val="000520AD"/>
    <w:rsid w:val="000522A9"/>
    <w:rsid w:val="000529BA"/>
    <w:rsid w:val="00052F17"/>
    <w:rsid w:val="00053160"/>
    <w:rsid w:val="00053873"/>
    <w:rsid w:val="00054258"/>
    <w:rsid w:val="000542C6"/>
    <w:rsid w:val="0005474A"/>
    <w:rsid w:val="000549BC"/>
    <w:rsid w:val="00055347"/>
    <w:rsid w:val="0005543E"/>
    <w:rsid w:val="0005646E"/>
    <w:rsid w:val="0005681C"/>
    <w:rsid w:val="00056C49"/>
    <w:rsid w:val="00056D62"/>
    <w:rsid w:val="00056D8C"/>
    <w:rsid w:val="000575F3"/>
    <w:rsid w:val="00057BA7"/>
    <w:rsid w:val="00057BAE"/>
    <w:rsid w:val="00057CBB"/>
    <w:rsid w:val="0006013D"/>
    <w:rsid w:val="000603B8"/>
    <w:rsid w:val="00060559"/>
    <w:rsid w:val="000607D8"/>
    <w:rsid w:val="00060D56"/>
    <w:rsid w:val="00060E4D"/>
    <w:rsid w:val="00061001"/>
    <w:rsid w:val="000612A2"/>
    <w:rsid w:val="00061525"/>
    <w:rsid w:val="000615CF"/>
    <w:rsid w:val="00061670"/>
    <w:rsid w:val="00061D0F"/>
    <w:rsid w:val="000626AA"/>
    <w:rsid w:val="00063784"/>
    <w:rsid w:val="00063AC0"/>
    <w:rsid w:val="00063CC6"/>
    <w:rsid w:val="000643B8"/>
    <w:rsid w:val="00064932"/>
    <w:rsid w:val="00064AC8"/>
    <w:rsid w:val="00064F47"/>
    <w:rsid w:val="000652DF"/>
    <w:rsid w:val="00065F48"/>
    <w:rsid w:val="000660A9"/>
    <w:rsid w:val="0006614E"/>
    <w:rsid w:val="000662A4"/>
    <w:rsid w:val="000663C1"/>
    <w:rsid w:val="000668AD"/>
    <w:rsid w:val="00066913"/>
    <w:rsid w:val="00066AD9"/>
    <w:rsid w:val="00066FD5"/>
    <w:rsid w:val="000670C1"/>
    <w:rsid w:val="00067531"/>
    <w:rsid w:val="000677DB"/>
    <w:rsid w:val="00067929"/>
    <w:rsid w:val="00067E28"/>
    <w:rsid w:val="000701B3"/>
    <w:rsid w:val="00070ACB"/>
    <w:rsid w:val="00070C1A"/>
    <w:rsid w:val="00070C31"/>
    <w:rsid w:val="000718F0"/>
    <w:rsid w:val="0007203D"/>
    <w:rsid w:val="000725C7"/>
    <w:rsid w:val="000729FB"/>
    <w:rsid w:val="00072E41"/>
    <w:rsid w:val="00072FF9"/>
    <w:rsid w:val="00073976"/>
    <w:rsid w:val="00073D54"/>
    <w:rsid w:val="000748B5"/>
    <w:rsid w:val="000749B3"/>
    <w:rsid w:val="00074DD4"/>
    <w:rsid w:val="000753C2"/>
    <w:rsid w:val="000761B8"/>
    <w:rsid w:val="000761EC"/>
    <w:rsid w:val="00076337"/>
    <w:rsid w:val="00076547"/>
    <w:rsid w:val="00076CA9"/>
    <w:rsid w:val="00076DC4"/>
    <w:rsid w:val="00077207"/>
    <w:rsid w:val="00077B1C"/>
    <w:rsid w:val="00077D47"/>
    <w:rsid w:val="000802F5"/>
    <w:rsid w:val="00081D14"/>
    <w:rsid w:val="00081DD7"/>
    <w:rsid w:val="0008299C"/>
    <w:rsid w:val="00082B25"/>
    <w:rsid w:val="00082DDC"/>
    <w:rsid w:val="00082E4B"/>
    <w:rsid w:val="00082F6E"/>
    <w:rsid w:val="00083261"/>
    <w:rsid w:val="0008345F"/>
    <w:rsid w:val="00083DA9"/>
    <w:rsid w:val="000841DD"/>
    <w:rsid w:val="00084338"/>
    <w:rsid w:val="00085076"/>
    <w:rsid w:val="0008515B"/>
    <w:rsid w:val="00085234"/>
    <w:rsid w:val="0008557F"/>
    <w:rsid w:val="00085D59"/>
    <w:rsid w:val="00087199"/>
    <w:rsid w:val="00087282"/>
    <w:rsid w:val="0008729D"/>
    <w:rsid w:val="0008787B"/>
    <w:rsid w:val="00087B22"/>
    <w:rsid w:val="00087C94"/>
    <w:rsid w:val="0009014F"/>
    <w:rsid w:val="00090A25"/>
    <w:rsid w:val="00090EEC"/>
    <w:rsid w:val="0009103C"/>
    <w:rsid w:val="0009178B"/>
    <w:rsid w:val="000918C3"/>
    <w:rsid w:val="00091BBD"/>
    <w:rsid w:val="00092223"/>
    <w:rsid w:val="000929B2"/>
    <w:rsid w:val="0009306A"/>
    <w:rsid w:val="00093B0A"/>
    <w:rsid w:val="00094026"/>
    <w:rsid w:val="000941AB"/>
    <w:rsid w:val="000943E6"/>
    <w:rsid w:val="00094659"/>
    <w:rsid w:val="0009473D"/>
    <w:rsid w:val="000948F2"/>
    <w:rsid w:val="00094A67"/>
    <w:rsid w:val="00094F46"/>
    <w:rsid w:val="00094FB7"/>
    <w:rsid w:val="000955DF"/>
    <w:rsid w:val="000956B5"/>
    <w:rsid w:val="00095AFF"/>
    <w:rsid w:val="00095D67"/>
    <w:rsid w:val="0009610E"/>
    <w:rsid w:val="00097FB9"/>
    <w:rsid w:val="000A0081"/>
    <w:rsid w:val="000A071B"/>
    <w:rsid w:val="000A0AC1"/>
    <w:rsid w:val="000A0DA5"/>
    <w:rsid w:val="000A1091"/>
    <w:rsid w:val="000A16A8"/>
    <w:rsid w:val="000A1821"/>
    <w:rsid w:val="000A1A62"/>
    <w:rsid w:val="000A3C4E"/>
    <w:rsid w:val="000A44B2"/>
    <w:rsid w:val="000A4D8E"/>
    <w:rsid w:val="000A4E92"/>
    <w:rsid w:val="000A5D0D"/>
    <w:rsid w:val="000A5D7F"/>
    <w:rsid w:val="000A5EBB"/>
    <w:rsid w:val="000A625B"/>
    <w:rsid w:val="000A62AB"/>
    <w:rsid w:val="000A663C"/>
    <w:rsid w:val="000A66A4"/>
    <w:rsid w:val="000A6DE9"/>
    <w:rsid w:val="000A6F43"/>
    <w:rsid w:val="000A70CB"/>
    <w:rsid w:val="000A758E"/>
    <w:rsid w:val="000A7F67"/>
    <w:rsid w:val="000B0013"/>
    <w:rsid w:val="000B0127"/>
    <w:rsid w:val="000B1907"/>
    <w:rsid w:val="000B291E"/>
    <w:rsid w:val="000B2A34"/>
    <w:rsid w:val="000B335A"/>
    <w:rsid w:val="000B385B"/>
    <w:rsid w:val="000B3A3C"/>
    <w:rsid w:val="000B3FAC"/>
    <w:rsid w:val="000B428F"/>
    <w:rsid w:val="000B45F4"/>
    <w:rsid w:val="000B52FB"/>
    <w:rsid w:val="000B5FB7"/>
    <w:rsid w:val="000B6366"/>
    <w:rsid w:val="000B764F"/>
    <w:rsid w:val="000B7799"/>
    <w:rsid w:val="000C0D80"/>
    <w:rsid w:val="000C0FDE"/>
    <w:rsid w:val="000C10D9"/>
    <w:rsid w:val="000C13C6"/>
    <w:rsid w:val="000C1B44"/>
    <w:rsid w:val="000C1F47"/>
    <w:rsid w:val="000C2132"/>
    <w:rsid w:val="000C23DF"/>
    <w:rsid w:val="000C25A1"/>
    <w:rsid w:val="000C26E6"/>
    <w:rsid w:val="000C285A"/>
    <w:rsid w:val="000C3080"/>
    <w:rsid w:val="000C34AC"/>
    <w:rsid w:val="000C4041"/>
    <w:rsid w:val="000C425B"/>
    <w:rsid w:val="000C45EB"/>
    <w:rsid w:val="000C50C9"/>
    <w:rsid w:val="000C57A3"/>
    <w:rsid w:val="000C5EFC"/>
    <w:rsid w:val="000C61E2"/>
    <w:rsid w:val="000C6E7F"/>
    <w:rsid w:val="000C6F62"/>
    <w:rsid w:val="000C7A04"/>
    <w:rsid w:val="000C7B97"/>
    <w:rsid w:val="000D148D"/>
    <w:rsid w:val="000D1663"/>
    <w:rsid w:val="000D1A3F"/>
    <w:rsid w:val="000D1E75"/>
    <w:rsid w:val="000D1E8B"/>
    <w:rsid w:val="000D25A7"/>
    <w:rsid w:val="000D2A43"/>
    <w:rsid w:val="000D30F4"/>
    <w:rsid w:val="000D3582"/>
    <w:rsid w:val="000D35B4"/>
    <w:rsid w:val="000D50C4"/>
    <w:rsid w:val="000D5131"/>
    <w:rsid w:val="000D513F"/>
    <w:rsid w:val="000D54C9"/>
    <w:rsid w:val="000D55CA"/>
    <w:rsid w:val="000D60E3"/>
    <w:rsid w:val="000D6263"/>
    <w:rsid w:val="000D6687"/>
    <w:rsid w:val="000D67D7"/>
    <w:rsid w:val="000D6F87"/>
    <w:rsid w:val="000D71B3"/>
    <w:rsid w:val="000D7613"/>
    <w:rsid w:val="000D78C7"/>
    <w:rsid w:val="000E001C"/>
    <w:rsid w:val="000E05F2"/>
    <w:rsid w:val="000E1537"/>
    <w:rsid w:val="000E1C7F"/>
    <w:rsid w:val="000E212E"/>
    <w:rsid w:val="000E22D7"/>
    <w:rsid w:val="000E2D56"/>
    <w:rsid w:val="000E39E0"/>
    <w:rsid w:val="000E448E"/>
    <w:rsid w:val="000E4491"/>
    <w:rsid w:val="000E5220"/>
    <w:rsid w:val="000E53C4"/>
    <w:rsid w:val="000E64A8"/>
    <w:rsid w:val="000E6EE9"/>
    <w:rsid w:val="000E6FBA"/>
    <w:rsid w:val="000F105A"/>
    <w:rsid w:val="000F153B"/>
    <w:rsid w:val="000F1541"/>
    <w:rsid w:val="000F162E"/>
    <w:rsid w:val="000F1698"/>
    <w:rsid w:val="000F174D"/>
    <w:rsid w:val="000F1794"/>
    <w:rsid w:val="000F1A64"/>
    <w:rsid w:val="000F1C7C"/>
    <w:rsid w:val="000F39B1"/>
    <w:rsid w:val="000F4C15"/>
    <w:rsid w:val="000F5113"/>
    <w:rsid w:val="000F54F5"/>
    <w:rsid w:val="000F5739"/>
    <w:rsid w:val="000F5A63"/>
    <w:rsid w:val="000F5B19"/>
    <w:rsid w:val="000F5CB7"/>
    <w:rsid w:val="000F65B7"/>
    <w:rsid w:val="000F66D1"/>
    <w:rsid w:val="000F6C6C"/>
    <w:rsid w:val="000F7F5F"/>
    <w:rsid w:val="00100683"/>
    <w:rsid w:val="00101494"/>
    <w:rsid w:val="00101686"/>
    <w:rsid w:val="001024A2"/>
    <w:rsid w:val="001027D9"/>
    <w:rsid w:val="00102A5C"/>
    <w:rsid w:val="00102DDD"/>
    <w:rsid w:val="0010303F"/>
    <w:rsid w:val="001031FF"/>
    <w:rsid w:val="001032F1"/>
    <w:rsid w:val="00103617"/>
    <w:rsid w:val="00104B50"/>
    <w:rsid w:val="00105332"/>
    <w:rsid w:val="00107645"/>
    <w:rsid w:val="00107848"/>
    <w:rsid w:val="00111B02"/>
    <w:rsid w:val="001129F8"/>
    <w:rsid w:val="00112C26"/>
    <w:rsid w:val="0011313C"/>
    <w:rsid w:val="001132DB"/>
    <w:rsid w:val="0011455A"/>
    <w:rsid w:val="001145AA"/>
    <w:rsid w:val="00114ABB"/>
    <w:rsid w:val="00114FFA"/>
    <w:rsid w:val="0011540C"/>
    <w:rsid w:val="001154BD"/>
    <w:rsid w:val="0011562A"/>
    <w:rsid w:val="001163ED"/>
    <w:rsid w:val="001164E2"/>
    <w:rsid w:val="00117B3E"/>
    <w:rsid w:val="00120831"/>
    <w:rsid w:val="001208B0"/>
    <w:rsid w:val="0012125A"/>
    <w:rsid w:val="001219F9"/>
    <w:rsid w:val="00121C34"/>
    <w:rsid w:val="00122802"/>
    <w:rsid w:val="0012373F"/>
    <w:rsid w:val="001246D5"/>
    <w:rsid w:val="001247C6"/>
    <w:rsid w:val="00124A4F"/>
    <w:rsid w:val="00124A72"/>
    <w:rsid w:val="00124F3D"/>
    <w:rsid w:val="0012500B"/>
    <w:rsid w:val="001256B6"/>
    <w:rsid w:val="001256E4"/>
    <w:rsid w:val="00125BAD"/>
    <w:rsid w:val="00125CAD"/>
    <w:rsid w:val="00126504"/>
    <w:rsid w:val="00126512"/>
    <w:rsid w:val="00127B1A"/>
    <w:rsid w:val="00127D28"/>
    <w:rsid w:val="001307EB"/>
    <w:rsid w:val="00130D27"/>
    <w:rsid w:val="0013138E"/>
    <w:rsid w:val="00131811"/>
    <w:rsid w:val="00131FCA"/>
    <w:rsid w:val="001325BC"/>
    <w:rsid w:val="001326D5"/>
    <w:rsid w:val="00132A6C"/>
    <w:rsid w:val="00134F32"/>
    <w:rsid w:val="001354D3"/>
    <w:rsid w:val="001357C3"/>
    <w:rsid w:val="00136096"/>
    <w:rsid w:val="00136593"/>
    <w:rsid w:val="00136DBF"/>
    <w:rsid w:val="00136FE0"/>
    <w:rsid w:val="00136FFE"/>
    <w:rsid w:val="00137933"/>
    <w:rsid w:val="00137E21"/>
    <w:rsid w:val="00137F0A"/>
    <w:rsid w:val="00140DDB"/>
    <w:rsid w:val="00141233"/>
    <w:rsid w:val="001412FB"/>
    <w:rsid w:val="00141805"/>
    <w:rsid w:val="00141A17"/>
    <w:rsid w:val="00141F6B"/>
    <w:rsid w:val="00142032"/>
    <w:rsid w:val="00142035"/>
    <w:rsid w:val="00142744"/>
    <w:rsid w:val="00142969"/>
    <w:rsid w:val="00142A33"/>
    <w:rsid w:val="00143440"/>
    <w:rsid w:val="00143734"/>
    <w:rsid w:val="0014381F"/>
    <w:rsid w:val="00145F3E"/>
    <w:rsid w:val="001464B7"/>
    <w:rsid w:val="00146589"/>
    <w:rsid w:val="00146DE0"/>
    <w:rsid w:val="00146E55"/>
    <w:rsid w:val="00147EDD"/>
    <w:rsid w:val="0015055A"/>
    <w:rsid w:val="00150565"/>
    <w:rsid w:val="00150578"/>
    <w:rsid w:val="00151181"/>
    <w:rsid w:val="00151474"/>
    <w:rsid w:val="00151545"/>
    <w:rsid w:val="0015199C"/>
    <w:rsid w:val="0015212B"/>
    <w:rsid w:val="0015212F"/>
    <w:rsid w:val="0015240A"/>
    <w:rsid w:val="00155464"/>
    <w:rsid w:val="00155631"/>
    <w:rsid w:val="001556E1"/>
    <w:rsid w:val="00155934"/>
    <w:rsid w:val="0015610A"/>
    <w:rsid w:val="001568DE"/>
    <w:rsid w:val="0015691E"/>
    <w:rsid w:val="001579C7"/>
    <w:rsid w:val="00157BB8"/>
    <w:rsid w:val="00157C64"/>
    <w:rsid w:val="00160538"/>
    <w:rsid w:val="00160C06"/>
    <w:rsid w:val="001615C8"/>
    <w:rsid w:val="001619C2"/>
    <w:rsid w:val="00162B85"/>
    <w:rsid w:val="00162DA2"/>
    <w:rsid w:val="00163309"/>
    <w:rsid w:val="00163CF5"/>
    <w:rsid w:val="001642BB"/>
    <w:rsid w:val="00164659"/>
    <w:rsid w:val="001648F7"/>
    <w:rsid w:val="00164AE7"/>
    <w:rsid w:val="00164B7A"/>
    <w:rsid w:val="00164C5E"/>
    <w:rsid w:val="00165061"/>
    <w:rsid w:val="00165363"/>
    <w:rsid w:val="00165503"/>
    <w:rsid w:val="00165E31"/>
    <w:rsid w:val="00165F8C"/>
    <w:rsid w:val="00165F93"/>
    <w:rsid w:val="00166336"/>
    <w:rsid w:val="001665F7"/>
    <w:rsid w:val="00166A3A"/>
    <w:rsid w:val="00166A66"/>
    <w:rsid w:val="00166C9E"/>
    <w:rsid w:val="0016702C"/>
    <w:rsid w:val="001671DD"/>
    <w:rsid w:val="00167674"/>
    <w:rsid w:val="0016775E"/>
    <w:rsid w:val="00167B75"/>
    <w:rsid w:val="00170FC9"/>
    <w:rsid w:val="001712E0"/>
    <w:rsid w:val="00171F50"/>
    <w:rsid w:val="00172147"/>
    <w:rsid w:val="00172A45"/>
    <w:rsid w:val="00173034"/>
    <w:rsid w:val="0017306D"/>
    <w:rsid w:val="0017317E"/>
    <w:rsid w:val="00173721"/>
    <w:rsid w:val="0017425C"/>
    <w:rsid w:val="00174707"/>
    <w:rsid w:val="001747B7"/>
    <w:rsid w:val="00174AB9"/>
    <w:rsid w:val="00174F93"/>
    <w:rsid w:val="00175311"/>
    <w:rsid w:val="001756AA"/>
    <w:rsid w:val="00176360"/>
    <w:rsid w:val="0017656D"/>
    <w:rsid w:val="00176793"/>
    <w:rsid w:val="00177140"/>
    <w:rsid w:val="001774ED"/>
    <w:rsid w:val="00180CAF"/>
    <w:rsid w:val="00180DAC"/>
    <w:rsid w:val="001814D7"/>
    <w:rsid w:val="00181E65"/>
    <w:rsid w:val="00182B00"/>
    <w:rsid w:val="00182BD5"/>
    <w:rsid w:val="00182EF3"/>
    <w:rsid w:val="00182FAB"/>
    <w:rsid w:val="001836C8"/>
    <w:rsid w:val="0018496B"/>
    <w:rsid w:val="00184BF6"/>
    <w:rsid w:val="0018588D"/>
    <w:rsid w:val="00185D4A"/>
    <w:rsid w:val="00185DB0"/>
    <w:rsid w:val="00185DD6"/>
    <w:rsid w:val="00185FA7"/>
    <w:rsid w:val="001866A1"/>
    <w:rsid w:val="00186A2F"/>
    <w:rsid w:val="00186C0B"/>
    <w:rsid w:val="00187A35"/>
    <w:rsid w:val="00187C21"/>
    <w:rsid w:val="00190491"/>
    <w:rsid w:val="0019069E"/>
    <w:rsid w:val="001909C3"/>
    <w:rsid w:val="001909F2"/>
    <w:rsid w:val="00190B97"/>
    <w:rsid w:val="00191859"/>
    <w:rsid w:val="00191B7F"/>
    <w:rsid w:val="001920ED"/>
    <w:rsid w:val="001922DB"/>
    <w:rsid w:val="0019232F"/>
    <w:rsid w:val="00192CDF"/>
    <w:rsid w:val="00192E7B"/>
    <w:rsid w:val="00192E93"/>
    <w:rsid w:val="001937B6"/>
    <w:rsid w:val="001939AC"/>
    <w:rsid w:val="00193A8B"/>
    <w:rsid w:val="00194199"/>
    <w:rsid w:val="00194E32"/>
    <w:rsid w:val="00194F39"/>
    <w:rsid w:val="001952F8"/>
    <w:rsid w:val="001955F8"/>
    <w:rsid w:val="00195A38"/>
    <w:rsid w:val="00195AC3"/>
    <w:rsid w:val="001961E2"/>
    <w:rsid w:val="00196A8C"/>
    <w:rsid w:val="00196AE0"/>
    <w:rsid w:val="00196C3C"/>
    <w:rsid w:val="00196D41"/>
    <w:rsid w:val="00196EAB"/>
    <w:rsid w:val="00197186"/>
    <w:rsid w:val="00197880"/>
    <w:rsid w:val="001979F6"/>
    <w:rsid w:val="00197A2C"/>
    <w:rsid w:val="00197DDF"/>
    <w:rsid w:val="001A0392"/>
    <w:rsid w:val="001A05D2"/>
    <w:rsid w:val="001A081F"/>
    <w:rsid w:val="001A08EB"/>
    <w:rsid w:val="001A0EBA"/>
    <w:rsid w:val="001A1687"/>
    <w:rsid w:val="001A1C3F"/>
    <w:rsid w:val="001A1EAF"/>
    <w:rsid w:val="001A1EBE"/>
    <w:rsid w:val="001A2CC6"/>
    <w:rsid w:val="001A2CE4"/>
    <w:rsid w:val="001A44F1"/>
    <w:rsid w:val="001A49AF"/>
    <w:rsid w:val="001A5369"/>
    <w:rsid w:val="001A66C1"/>
    <w:rsid w:val="001A6A3B"/>
    <w:rsid w:val="001A702E"/>
    <w:rsid w:val="001A74FE"/>
    <w:rsid w:val="001A7893"/>
    <w:rsid w:val="001B075D"/>
    <w:rsid w:val="001B0F37"/>
    <w:rsid w:val="001B124F"/>
    <w:rsid w:val="001B141A"/>
    <w:rsid w:val="001B1738"/>
    <w:rsid w:val="001B187F"/>
    <w:rsid w:val="001B1AAA"/>
    <w:rsid w:val="001B1C94"/>
    <w:rsid w:val="001B1F88"/>
    <w:rsid w:val="001B2025"/>
    <w:rsid w:val="001B29C3"/>
    <w:rsid w:val="001B3137"/>
    <w:rsid w:val="001B367F"/>
    <w:rsid w:val="001B3921"/>
    <w:rsid w:val="001B3CB6"/>
    <w:rsid w:val="001B4062"/>
    <w:rsid w:val="001B4213"/>
    <w:rsid w:val="001B4899"/>
    <w:rsid w:val="001B49C0"/>
    <w:rsid w:val="001B4FB2"/>
    <w:rsid w:val="001B579A"/>
    <w:rsid w:val="001B5A2B"/>
    <w:rsid w:val="001B5E5F"/>
    <w:rsid w:val="001B630E"/>
    <w:rsid w:val="001B634F"/>
    <w:rsid w:val="001B65FB"/>
    <w:rsid w:val="001B6931"/>
    <w:rsid w:val="001B6A2F"/>
    <w:rsid w:val="001B6D14"/>
    <w:rsid w:val="001B6F92"/>
    <w:rsid w:val="001B70E6"/>
    <w:rsid w:val="001B71EC"/>
    <w:rsid w:val="001C0332"/>
    <w:rsid w:val="001C0564"/>
    <w:rsid w:val="001C0D2B"/>
    <w:rsid w:val="001C192B"/>
    <w:rsid w:val="001C2033"/>
    <w:rsid w:val="001C22C5"/>
    <w:rsid w:val="001C2531"/>
    <w:rsid w:val="001C3400"/>
    <w:rsid w:val="001C37EE"/>
    <w:rsid w:val="001C47D4"/>
    <w:rsid w:val="001C4FCB"/>
    <w:rsid w:val="001C5029"/>
    <w:rsid w:val="001C5299"/>
    <w:rsid w:val="001C5715"/>
    <w:rsid w:val="001C5BDA"/>
    <w:rsid w:val="001C628E"/>
    <w:rsid w:val="001C6545"/>
    <w:rsid w:val="001C65EE"/>
    <w:rsid w:val="001C6DE9"/>
    <w:rsid w:val="001C72B9"/>
    <w:rsid w:val="001C75D1"/>
    <w:rsid w:val="001C7BEF"/>
    <w:rsid w:val="001D029A"/>
    <w:rsid w:val="001D04BB"/>
    <w:rsid w:val="001D056D"/>
    <w:rsid w:val="001D10B2"/>
    <w:rsid w:val="001D204C"/>
    <w:rsid w:val="001D2189"/>
    <w:rsid w:val="001D2606"/>
    <w:rsid w:val="001D2CA7"/>
    <w:rsid w:val="001D2F15"/>
    <w:rsid w:val="001D2FF4"/>
    <w:rsid w:val="001D3C9B"/>
    <w:rsid w:val="001D4347"/>
    <w:rsid w:val="001D49A3"/>
    <w:rsid w:val="001D518D"/>
    <w:rsid w:val="001D5E22"/>
    <w:rsid w:val="001D5FEE"/>
    <w:rsid w:val="001D68C2"/>
    <w:rsid w:val="001D6973"/>
    <w:rsid w:val="001D72B8"/>
    <w:rsid w:val="001D7684"/>
    <w:rsid w:val="001D7B32"/>
    <w:rsid w:val="001E0873"/>
    <w:rsid w:val="001E13B9"/>
    <w:rsid w:val="001E19B6"/>
    <w:rsid w:val="001E20B2"/>
    <w:rsid w:val="001E2310"/>
    <w:rsid w:val="001E2FF6"/>
    <w:rsid w:val="001E304C"/>
    <w:rsid w:val="001E3123"/>
    <w:rsid w:val="001E3131"/>
    <w:rsid w:val="001E3A74"/>
    <w:rsid w:val="001E4703"/>
    <w:rsid w:val="001E4708"/>
    <w:rsid w:val="001E4D78"/>
    <w:rsid w:val="001E5873"/>
    <w:rsid w:val="001E6293"/>
    <w:rsid w:val="001E62B6"/>
    <w:rsid w:val="001E657B"/>
    <w:rsid w:val="001E6FE9"/>
    <w:rsid w:val="001E7340"/>
    <w:rsid w:val="001E784C"/>
    <w:rsid w:val="001F013C"/>
    <w:rsid w:val="001F073A"/>
    <w:rsid w:val="001F07A8"/>
    <w:rsid w:val="001F07E5"/>
    <w:rsid w:val="001F0ABC"/>
    <w:rsid w:val="001F0F2A"/>
    <w:rsid w:val="001F13E2"/>
    <w:rsid w:val="001F1561"/>
    <w:rsid w:val="001F15BC"/>
    <w:rsid w:val="001F2253"/>
    <w:rsid w:val="001F31C2"/>
    <w:rsid w:val="001F32C1"/>
    <w:rsid w:val="001F3318"/>
    <w:rsid w:val="001F33C3"/>
    <w:rsid w:val="001F3CB9"/>
    <w:rsid w:val="001F41DE"/>
    <w:rsid w:val="001F4F04"/>
    <w:rsid w:val="001F5247"/>
    <w:rsid w:val="001F5E8E"/>
    <w:rsid w:val="001F64B2"/>
    <w:rsid w:val="001F75D5"/>
    <w:rsid w:val="001F7A1E"/>
    <w:rsid w:val="00200C74"/>
    <w:rsid w:val="00201260"/>
    <w:rsid w:val="0020157B"/>
    <w:rsid w:val="002020F8"/>
    <w:rsid w:val="00202658"/>
    <w:rsid w:val="00202A0C"/>
    <w:rsid w:val="00203A55"/>
    <w:rsid w:val="00203CD8"/>
    <w:rsid w:val="00203D92"/>
    <w:rsid w:val="00204832"/>
    <w:rsid w:val="00204A7C"/>
    <w:rsid w:val="00204B46"/>
    <w:rsid w:val="0020643F"/>
    <w:rsid w:val="00206FEE"/>
    <w:rsid w:val="0020710B"/>
    <w:rsid w:val="00207231"/>
    <w:rsid w:val="0021016D"/>
    <w:rsid w:val="002103B0"/>
    <w:rsid w:val="00210610"/>
    <w:rsid w:val="00210CE0"/>
    <w:rsid w:val="002112E1"/>
    <w:rsid w:val="0021157D"/>
    <w:rsid w:val="00211D78"/>
    <w:rsid w:val="00212168"/>
    <w:rsid w:val="002121FE"/>
    <w:rsid w:val="0021267C"/>
    <w:rsid w:val="00212878"/>
    <w:rsid w:val="00212A94"/>
    <w:rsid w:val="00212B2D"/>
    <w:rsid w:val="00212EFB"/>
    <w:rsid w:val="00213016"/>
    <w:rsid w:val="0021307F"/>
    <w:rsid w:val="0021310D"/>
    <w:rsid w:val="002133CC"/>
    <w:rsid w:val="0021347D"/>
    <w:rsid w:val="0021427D"/>
    <w:rsid w:val="00214A5F"/>
    <w:rsid w:val="00214DC9"/>
    <w:rsid w:val="00215264"/>
    <w:rsid w:val="002156F7"/>
    <w:rsid w:val="002162AD"/>
    <w:rsid w:val="0021631E"/>
    <w:rsid w:val="00216971"/>
    <w:rsid w:val="00216B28"/>
    <w:rsid w:val="00216C65"/>
    <w:rsid w:val="00217209"/>
    <w:rsid w:val="0021766F"/>
    <w:rsid w:val="00220460"/>
    <w:rsid w:val="002206B0"/>
    <w:rsid w:val="002210F2"/>
    <w:rsid w:val="0022210C"/>
    <w:rsid w:val="002226F2"/>
    <w:rsid w:val="00222ED5"/>
    <w:rsid w:val="00223C50"/>
    <w:rsid w:val="00223D47"/>
    <w:rsid w:val="00224378"/>
    <w:rsid w:val="002247F7"/>
    <w:rsid w:val="00224F69"/>
    <w:rsid w:val="00225E8A"/>
    <w:rsid w:val="00226265"/>
    <w:rsid w:val="002264AE"/>
    <w:rsid w:val="0022654A"/>
    <w:rsid w:val="00226CBD"/>
    <w:rsid w:val="00226DF9"/>
    <w:rsid w:val="0022706F"/>
    <w:rsid w:val="00230A92"/>
    <w:rsid w:val="00230C2C"/>
    <w:rsid w:val="00230D07"/>
    <w:rsid w:val="00231379"/>
    <w:rsid w:val="00231A7D"/>
    <w:rsid w:val="0023211A"/>
    <w:rsid w:val="002329A6"/>
    <w:rsid w:val="002331F7"/>
    <w:rsid w:val="00233835"/>
    <w:rsid w:val="00233BC0"/>
    <w:rsid w:val="002342C3"/>
    <w:rsid w:val="002344C6"/>
    <w:rsid w:val="00234639"/>
    <w:rsid w:val="002346DB"/>
    <w:rsid w:val="0023481B"/>
    <w:rsid w:val="00235264"/>
    <w:rsid w:val="0023550E"/>
    <w:rsid w:val="00235CD8"/>
    <w:rsid w:val="00235F69"/>
    <w:rsid w:val="002367E8"/>
    <w:rsid w:val="00236855"/>
    <w:rsid w:val="002372D6"/>
    <w:rsid w:val="002375BA"/>
    <w:rsid w:val="00237753"/>
    <w:rsid w:val="00237AA4"/>
    <w:rsid w:val="00237CD1"/>
    <w:rsid w:val="00237DE1"/>
    <w:rsid w:val="00237F37"/>
    <w:rsid w:val="002402CF"/>
    <w:rsid w:val="00240A88"/>
    <w:rsid w:val="002410D8"/>
    <w:rsid w:val="002411C3"/>
    <w:rsid w:val="0024147F"/>
    <w:rsid w:val="00241A3E"/>
    <w:rsid w:val="0024234E"/>
    <w:rsid w:val="002433DD"/>
    <w:rsid w:val="00243572"/>
    <w:rsid w:val="00243576"/>
    <w:rsid w:val="00243C6D"/>
    <w:rsid w:val="0024411D"/>
    <w:rsid w:val="00244984"/>
    <w:rsid w:val="00244F2E"/>
    <w:rsid w:val="002456B4"/>
    <w:rsid w:val="002467A9"/>
    <w:rsid w:val="002469A6"/>
    <w:rsid w:val="002469D3"/>
    <w:rsid w:val="0024762B"/>
    <w:rsid w:val="0024783E"/>
    <w:rsid w:val="00247B16"/>
    <w:rsid w:val="00247B71"/>
    <w:rsid w:val="00247E42"/>
    <w:rsid w:val="0025010F"/>
    <w:rsid w:val="002504B4"/>
    <w:rsid w:val="002512E7"/>
    <w:rsid w:val="002515DD"/>
    <w:rsid w:val="00251905"/>
    <w:rsid w:val="00251952"/>
    <w:rsid w:val="00251A90"/>
    <w:rsid w:val="0025285F"/>
    <w:rsid w:val="00252DAA"/>
    <w:rsid w:val="00253703"/>
    <w:rsid w:val="002545F6"/>
    <w:rsid w:val="0025472E"/>
    <w:rsid w:val="002548ED"/>
    <w:rsid w:val="00254FAB"/>
    <w:rsid w:val="002555D2"/>
    <w:rsid w:val="002568F7"/>
    <w:rsid w:val="00256BC9"/>
    <w:rsid w:val="00256FED"/>
    <w:rsid w:val="002576D0"/>
    <w:rsid w:val="00260E35"/>
    <w:rsid w:val="0026128F"/>
    <w:rsid w:val="0026374F"/>
    <w:rsid w:val="00264EDF"/>
    <w:rsid w:val="002657ED"/>
    <w:rsid w:val="002659B3"/>
    <w:rsid w:val="00265A52"/>
    <w:rsid w:val="00265CA9"/>
    <w:rsid w:val="00266A5F"/>
    <w:rsid w:val="002702D8"/>
    <w:rsid w:val="00270FDD"/>
    <w:rsid w:val="002718AD"/>
    <w:rsid w:val="002718C5"/>
    <w:rsid w:val="00272B52"/>
    <w:rsid w:val="00272FEE"/>
    <w:rsid w:val="002740DF"/>
    <w:rsid w:val="002744FB"/>
    <w:rsid w:val="0027467C"/>
    <w:rsid w:val="002748FE"/>
    <w:rsid w:val="00274A9F"/>
    <w:rsid w:val="00274BC0"/>
    <w:rsid w:val="00274BC1"/>
    <w:rsid w:val="00274C98"/>
    <w:rsid w:val="0027587A"/>
    <w:rsid w:val="002759D1"/>
    <w:rsid w:val="00275B91"/>
    <w:rsid w:val="0027663D"/>
    <w:rsid w:val="002773C1"/>
    <w:rsid w:val="00277540"/>
    <w:rsid w:val="0028099B"/>
    <w:rsid w:val="00280ADA"/>
    <w:rsid w:val="00280F3D"/>
    <w:rsid w:val="002816B0"/>
    <w:rsid w:val="00281E78"/>
    <w:rsid w:val="00282653"/>
    <w:rsid w:val="00282867"/>
    <w:rsid w:val="002828A6"/>
    <w:rsid w:val="00282C97"/>
    <w:rsid w:val="00282D31"/>
    <w:rsid w:val="00282FE9"/>
    <w:rsid w:val="00283132"/>
    <w:rsid w:val="0028415C"/>
    <w:rsid w:val="00284A0C"/>
    <w:rsid w:val="00284C7D"/>
    <w:rsid w:val="00284D2C"/>
    <w:rsid w:val="00284F7B"/>
    <w:rsid w:val="00285299"/>
    <w:rsid w:val="002855FF"/>
    <w:rsid w:val="00285A60"/>
    <w:rsid w:val="0028669B"/>
    <w:rsid w:val="002866DA"/>
    <w:rsid w:val="002874D5"/>
    <w:rsid w:val="002875B5"/>
    <w:rsid w:val="0029006F"/>
    <w:rsid w:val="0029031C"/>
    <w:rsid w:val="0029031F"/>
    <w:rsid w:val="0029047A"/>
    <w:rsid w:val="00290925"/>
    <w:rsid w:val="002911C3"/>
    <w:rsid w:val="00291860"/>
    <w:rsid w:val="00291DB7"/>
    <w:rsid w:val="00292483"/>
    <w:rsid w:val="00292807"/>
    <w:rsid w:val="00292D76"/>
    <w:rsid w:val="00292FB7"/>
    <w:rsid w:val="0029383B"/>
    <w:rsid w:val="00293E24"/>
    <w:rsid w:val="00294045"/>
    <w:rsid w:val="00294AB2"/>
    <w:rsid w:val="00294D76"/>
    <w:rsid w:val="00294EBA"/>
    <w:rsid w:val="0029509E"/>
    <w:rsid w:val="00295F8F"/>
    <w:rsid w:val="002963E2"/>
    <w:rsid w:val="00296AEB"/>
    <w:rsid w:val="00296BE3"/>
    <w:rsid w:val="00296C2C"/>
    <w:rsid w:val="00296FB5"/>
    <w:rsid w:val="002970D9"/>
    <w:rsid w:val="00297326"/>
    <w:rsid w:val="002A02A3"/>
    <w:rsid w:val="002A0350"/>
    <w:rsid w:val="002A0584"/>
    <w:rsid w:val="002A1B74"/>
    <w:rsid w:val="002A20DD"/>
    <w:rsid w:val="002A328C"/>
    <w:rsid w:val="002A35E5"/>
    <w:rsid w:val="002A427F"/>
    <w:rsid w:val="002A4980"/>
    <w:rsid w:val="002A570B"/>
    <w:rsid w:val="002A5B7D"/>
    <w:rsid w:val="002A5D9B"/>
    <w:rsid w:val="002A605F"/>
    <w:rsid w:val="002A616F"/>
    <w:rsid w:val="002A63A5"/>
    <w:rsid w:val="002A6BAA"/>
    <w:rsid w:val="002A6F35"/>
    <w:rsid w:val="002A78C9"/>
    <w:rsid w:val="002B0263"/>
    <w:rsid w:val="002B0BC4"/>
    <w:rsid w:val="002B0DA3"/>
    <w:rsid w:val="002B111C"/>
    <w:rsid w:val="002B1FB7"/>
    <w:rsid w:val="002B2E53"/>
    <w:rsid w:val="002B3D7A"/>
    <w:rsid w:val="002B40D6"/>
    <w:rsid w:val="002B423E"/>
    <w:rsid w:val="002B444D"/>
    <w:rsid w:val="002B4FC6"/>
    <w:rsid w:val="002B5C0C"/>
    <w:rsid w:val="002B6418"/>
    <w:rsid w:val="002B6AAE"/>
    <w:rsid w:val="002B719E"/>
    <w:rsid w:val="002B7ABA"/>
    <w:rsid w:val="002B7EAB"/>
    <w:rsid w:val="002C0ABC"/>
    <w:rsid w:val="002C0BB1"/>
    <w:rsid w:val="002C0E6F"/>
    <w:rsid w:val="002C124C"/>
    <w:rsid w:val="002C1974"/>
    <w:rsid w:val="002C1DEC"/>
    <w:rsid w:val="002C1F76"/>
    <w:rsid w:val="002C26EF"/>
    <w:rsid w:val="002C30BA"/>
    <w:rsid w:val="002C323B"/>
    <w:rsid w:val="002C480E"/>
    <w:rsid w:val="002C4B74"/>
    <w:rsid w:val="002C55F5"/>
    <w:rsid w:val="002C57E7"/>
    <w:rsid w:val="002C5A33"/>
    <w:rsid w:val="002C5C18"/>
    <w:rsid w:val="002C5D3C"/>
    <w:rsid w:val="002C5E55"/>
    <w:rsid w:val="002C61BB"/>
    <w:rsid w:val="002C624C"/>
    <w:rsid w:val="002C6795"/>
    <w:rsid w:val="002C7044"/>
    <w:rsid w:val="002C75B0"/>
    <w:rsid w:val="002C75FC"/>
    <w:rsid w:val="002C764C"/>
    <w:rsid w:val="002C7A8C"/>
    <w:rsid w:val="002C7AD6"/>
    <w:rsid w:val="002C7FE9"/>
    <w:rsid w:val="002D04CF"/>
    <w:rsid w:val="002D0AE8"/>
    <w:rsid w:val="002D0D42"/>
    <w:rsid w:val="002D1754"/>
    <w:rsid w:val="002D1916"/>
    <w:rsid w:val="002D1A01"/>
    <w:rsid w:val="002D1C79"/>
    <w:rsid w:val="002D1DC3"/>
    <w:rsid w:val="002D26E6"/>
    <w:rsid w:val="002D2C30"/>
    <w:rsid w:val="002D3133"/>
    <w:rsid w:val="002D3AC7"/>
    <w:rsid w:val="002D45F5"/>
    <w:rsid w:val="002D5CF8"/>
    <w:rsid w:val="002D5EE7"/>
    <w:rsid w:val="002D605D"/>
    <w:rsid w:val="002D6247"/>
    <w:rsid w:val="002D62F7"/>
    <w:rsid w:val="002D673B"/>
    <w:rsid w:val="002D6E74"/>
    <w:rsid w:val="002D7EF4"/>
    <w:rsid w:val="002D7F92"/>
    <w:rsid w:val="002E0E45"/>
    <w:rsid w:val="002E16F9"/>
    <w:rsid w:val="002E2B6C"/>
    <w:rsid w:val="002E2D7C"/>
    <w:rsid w:val="002E2EFE"/>
    <w:rsid w:val="002E31A6"/>
    <w:rsid w:val="002E3B7F"/>
    <w:rsid w:val="002E46CE"/>
    <w:rsid w:val="002E49F8"/>
    <w:rsid w:val="002E4F4D"/>
    <w:rsid w:val="002E5053"/>
    <w:rsid w:val="002E5F65"/>
    <w:rsid w:val="002E639D"/>
    <w:rsid w:val="002E6500"/>
    <w:rsid w:val="002E6D22"/>
    <w:rsid w:val="002E7572"/>
    <w:rsid w:val="002E7613"/>
    <w:rsid w:val="002E7781"/>
    <w:rsid w:val="002F0668"/>
    <w:rsid w:val="002F08FA"/>
    <w:rsid w:val="002F0CAC"/>
    <w:rsid w:val="002F1C44"/>
    <w:rsid w:val="002F308B"/>
    <w:rsid w:val="002F37A4"/>
    <w:rsid w:val="002F3993"/>
    <w:rsid w:val="002F4A34"/>
    <w:rsid w:val="002F4DA8"/>
    <w:rsid w:val="002F6073"/>
    <w:rsid w:val="002F6F0A"/>
    <w:rsid w:val="002F738D"/>
    <w:rsid w:val="002F78E5"/>
    <w:rsid w:val="002F7BCC"/>
    <w:rsid w:val="002F7D1A"/>
    <w:rsid w:val="00300612"/>
    <w:rsid w:val="003006B0"/>
    <w:rsid w:val="00300E45"/>
    <w:rsid w:val="00300F9B"/>
    <w:rsid w:val="0030113A"/>
    <w:rsid w:val="00302110"/>
    <w:rsid w:val="00302F31"/>
    <w:rsid w:val="00304FBE"/>
    <w:rsid w:val="003058E6"/>
    <w:rsid w:val="00305C6C"/>
    <w:rsid w:val="00305D66"/>
    <w:rsid w:val="003065AD"/>
    <w:rsid w:val="003066E5"/>
    <w:rsid w:val="00306862"/>
    <w:rsid w:val="003068E5"/>
    <w:rsid w:val="00306AC8"/>
    <w:rsid w:val="00306C1F"/>
    <w:rsid w:val="00307E40"/>
    <w:rsid w:val="003100AA"/>
    <w:rsid w:val="0031064F"/>
    <w:rsid w:val="00310766"/>
    <w:rsid w:val="00310B07"/>
    <w:rsid w:val="00310B3B"/>
    <w:rsid w:val="003111EB"/>
    <w:rsid w:val="0031139F"/>
    <w:rsid w:val="00311560"/>
    <w:rsid w:val="0031199E"/>
    <w:rsid w:val="00311C15"/>
    <w:rsid w:val="003137D0"/>
    <w:rsid w:val="00313A95"/>
    <w:rsid w:val="00313EE5"/>
    <w:rsid w:val="0031447C"/>
    <w:rsid w:val="00314AA6"/>
    <w:rsid w:val="00314BA7"/>
    <w:rsid w:val="00314FF0"/>
    <w:rsid w:val="0031504D"/>
    <w:rsid w:val="00315140"/>
    <w:rsid w:val="00315658"/>
    <w:rsid w:val="00316196"/>
    <w:rsid w:val="00316422"/>
    <w:rsid w:val="00316482"/>
    <w:rsid w:val="003171F1"/>
    <w:rsid w:val="0031749D"/>
    <w:rsid w:val="00317A92"/>
    <w:rsid w:val="00317F8E"/>
    <w:rsid w:val="00320364"/>
    <w:rsid w:val="00320521"/>
    <w:rsid w:val="00320EC1"/>
    <w:rsid w:val="003210B1"/>
    <w:rsid w:val="00321432"/>
    <w:rsid w:val="003214C3"/>
    <w:rsid w:val="00321DA2"/>
    <w:rsid w:val="00322CBB"/>
    <w:rsid w:val="00322F48"/>
    <w:rsid w:val="00322FAD"/>
    <w:rsid w:val="0032393D"/>
    <w:rsid w:val="0032411E"/>
    <w:rsid w:val="00324381"/>
    <w:rsid w:val="00324790"/>
    <w:rsid w:val="003254A2"/>
    <w:rsid w:val="0032654B"/>
    <w:rsid w:val="00326FDC"/>
    <w:rsid w:val="00327D81"/>
    <w:rsid w:val="00327EBB"/>
    <w:rsid w:val="00327FE8"/>
    <w:rsid w:val="00332C86"/>
    <w:rsid w:val="003332E5"/>
    <w:rsid w:val="0033331D"/>
    <w:rsid w:val="003338EF"/>
    <w:rsid w:val="00333A0E"/>
    <w:rsid w:val="00334230"/>
    <w:rsid w:val="003342B7"/>
    <w:rsid w:val="0033484E"/>
    <w:rsid w:val="00334867"/>
    <w:rsid w:val="00334C0E"/>
    <w:rsid w:val="00334E1A"/>
    <w:rsid w:val="00335AF5"/>
    <w:rsid w:val="00335E20"/>
    <w:rsid w:val="00336B55"/>
    <w:rsid w:val="00337955"/>
    <w:rsid w:val="00337E6B"/>
    <w:rsid w:val="00337EA0"/>
    <w:rsid w:val="00340331"/>
    <w:rsid w:val="003409D3"/>
    <w:rsid w:val="00340A58"/>
    <w:rsid w:val="00340E72"/>
    <w:rsid w:val="00340F74"/>
    <w:rsid w:val="00341450"/>
    <w:rsid w:val="003415C4"/>
    <w:rsid w:val="00341907"/>
    <w:rsid w:val="003419AA"/>
    <w:rsid w:val="003419CB"/>
    <w:rsid w:val="00342A04"/>
    <w:rsid w:val="00342E6F"/>
    <w:rsid w:val="003433DA"/>
    <w:rsid w:val="003434A1"/>
    <w:rsid w:val="00343667"/>
    <w:rsid w:val="0034488D"/>
    <w:rsid w:val="003455BB"/>
    <w:rsid w:val="00345EE6"/>
    <w:rsid w:val="00346204"/>
    <w:rsid w:val="0034746F"/>
    <w:rsid w:val="0035024A"/>
    <w:rsid w:val="00353F83"/>
    <w:rsid w:val="0035492A"/>
    <w:rsid w:val="00354F3A"/>
    <w:rsid w:val="00355003"/>
    <w:rsid w:val="003550F9"/>
    <w:rsid w:val="0035599B"/>
    <w:rsid w:val="00355F4C"/>
    <w:rsid w:val="00356087"/>
    <w:rsid w:val="003577B3"/>
    <w:rsid w:val="00360191"/>
    <w:rsid w:val="003601B0"/>
    <w:rsid w:val="0036263D"/>
    <w:rsid w:val="003627EE"/>
    <w:rsid w:val="00362899"/>
    <w:rsid w:val="003629E5"/>
    <w:rsid w:val="00362CE0"/>
    <w:rsid w:val="00363037"/>
    <w:rsid w:val="0036307E"/>
    <w:rsid w:val="00363AB7"/>
    <w:rsid w:val="00363DE2"/>
    <w:rsid w:val="00363F32"/>
    <w:rsid w:val="003640D9"/>
    <w:rsid w:val="003642C7"/>
    <w:rsid w:val="003643F5"/>
    <w:rsid w:val="00364920"/>
    <w:rsid w:val="00364CCF"/>
    <w:rsid w:val="00364FA5"/>
    <w:rsid w:val="00365CA1"/>
    <w:rsid w:val="00365DBA"/>
    <w:rsid w:val="00366008"/>
    <w:rsid w:val="003660EF"/>
    <w:rsid w:val="00366626"/>
    <w:rsid w:val="00366874"/>
    <w:rsid w:val="00366A4D"/>
    <w:rsid w:val="00366EA4"/>
    <w:rsid w:val="00366F11"/>
    <w:rsid w:val="00366F60"/>
    <w:rsid w:val="003670EF"/>
    <w:rsid w:val="003671D4"/>
    <w:rsid w:val="003675E6"/>
    <w:rsid w:val="003709DA"/>
    <w:rsid w:val="00370BD7"/>
    <w:rsid w:val="00372008"/>
    <w:rsid w:val="00372060"/>
    <w:rsid w:val="003721C7"/>
    <w:rsid w:val="00372680"/>
    <w:rsid w:val="00372808"/>
    <w:rsid w:val="00373C65"/>
    <w:rsid w:val="00374149"/>
    <w:rsid w:val="00374B60"/>
    <w:rsid w:val="00374E91"/>
    <w:rsid w:val="003754FD"/>
    <w:rsid w:val="00375A94"/>
    <w:rsid w:val="0037606F"/>
    <w:rsid w:val="00376977"/>
    <w:rsid w:val="003769F6"/>
    <w:rsid w:val="0037703F"/>
    <w:rsid w:val="00377093"/>
    <w:rsid w:val="00377360"/>
    <w:rsid w:val="00377E10"/>
    <w:rsid w:val="003800FE"/>
    <w:rsid w:val="00381786"/>
    <w:rsid w:val="00382050"/>
    <w:rsid w:val="003820B9"/>
    <w:rsid w:val="00382679"/>
    <w:rsid w:val="00382DAC"/>
    <w:rsid w:val="0038343C"/>
    <w:rsid w:val="003836FB"/>
    <w:rsid w:val="00383B02"/>
    <w:rsid w:val="00383FB6"/>
    <w:rsid w:val="003843F6"/>
    <w:rsid w:val="0038477F"/>
    <w:rsid w:val="00384CB3"/>
    <w:rsid w:val="00384F27"/>
    <w:rsid w:val="00385326"/>
    <w:rsid w:val="00385AEA"/>
    <w:rsid w:val="00385DD5"/>
    <w:rsid w:val="003863F5"/>
    <w:rsid w:val="00386A44"/>
    <w:rsid w:val="00386C4D"/>
    <w:rsid w:val="00386E21"/>
    <w:rsid w:val="00387125"/>
    <w:rsid w:val="003874EC"/>
    <w:rsid w:val="00387A16"/>
    <w:rsid w:val="00387EB2"/>
    <w:rsid w:val="00390219"/>
    <w:rsid w:val="0039033F"/>
    <w:rsid w:val="003911E8"/>
    <w:rsid w:val="003914BB"/>
    <w:rsid w:val="00392665"/>
    <w:rsid w:val="00392AB2"/>
    <w:rsid w:val="00392AE1"/>
    <w:rsid w:val="00393627"/>
    <w:rsid w:val="00394081"/>
    <w:rsid w:val="00394BA4"/>
    <w:rsid w:val="00394CFF"/>
    <w:rsid w:val="003951AC"/>
    <w:rsid w:val="0039532B"/>
    <w:rsid w:val="003953A9"/>
    <w:rsid w:val="00395715"/>
    <w:rsid w:val="00395E77"/>
    <w:rsid w:val="00396091"/>
    <w:rsid w:val="00397315"/>
    <w:rsid w:val="00397AAD"/>
    <w:rsid w:val="003A0155"/>
    <w:rsid w:val="003A0733"/>
    <w:rsid w:val="003A0DEA"/>
    <w:rsid w:val="003A1289"/>
    <w:rsid w:val="003A194C"/>
    <w:rsid w:val="003A1E2C"/>
    <w:rsid w:val="003A1F35"/>
    <w:rsid w:val="003A1F4B"/>
    <w:rsid w:val="003A2241"/>
    <w:rsid w:val="003A2E33"/>
    <w:rsid w:val="003A41C4"/>
    <w:rsid w:val="003A4EDB"/>
    <w:rsid w:val="003A5285"/>
    <w:rsid w:val="003A53E6"/>
    <w:rsid w:val="003A541C"/>
    <w:rsid w:val="003A5676"/>
    <w:rsid w:val="003A5734"/>
    <w:rsid w:val="003A59FC"/>
    <w:rsid w:val="003A7041"/>
    <w:rsid w:val="003A741E"/>
    <w:rsid w:val="003B071F"/>
    <w:rsid w:val="003B176F"/>
    <w:rsid w:val="003B191A"/>
    <w:rsid w:val="003B199A"/>
    <w:rsid w:val="003B2D87"/>
    <w:rsid w:val="003B30C7"/>
    <w:rsid w:val="003B3572"/>
    <w:rsid w:val="003B3687"/>
    <w:rsid w:val="003B3A1A"/>
    <w:rsid w:val="003B3E5D"/>
    <w:rsid w:val="003B3E72"/>
    <w:rsid w:val="003B3F20"/>
    <w:rsid w:val="003B4461"/>
    <w:rsid w:val="003B4537"/>
    <w:rsid w:val="003B46DF"/>
    <w:rsid w:val="003B5848"/>
    <w:rsid w:val="003B5B0C"/>
    <w:rsid w:val="003B5C4A"/>
    <w:rsid w:val="003B64E0"/>
    <w:rsid w:val="003B6DA9"/>
    <w:rsid w:val="003B6F13"/>
    <w:rsid w:val="003B7A55"/>
    <w:rsid w:val="003C01AD"/>
    <w:rsid w:val="003C050E"/>
    <w:rsid w:val="003C1224"/>
    <w:rsid w:val="003C16E1"/>
    <w:rsid w:val="003C1D71"/>
    <w:rsid w:val="003C2881"/>
    <w:rsid w:val="003C29D3"/>
    <w:rsid w:val="003C2BA3"/>
    <w:rsid w:val="003C2D3E"/>
    <w:rsid w:val="003C3391"/>
    <w:rsid w:val="003C3413"/>
    <w:rsid w:val="003C3632"/>
    <w:rsid w:val="003C3BAA"/>
    <w:rsid w:val="003C3DAD"/>
    <w:rsid w:val="003C3DBA"/>
    <w:rsid w:val="003C4D06"/>
    <w:rsid w:val="003C4E45"/>
    <w:rsid w:val="003C4ED7"/>
    <w:rsid w:val="003C5050"/>
    <w:rsid w:val="003C53C4"/>
    <w:rsid w:val="003C55DC"/>
    <w:rsid w:val="003C5844"/>
    <w:rsid w:val="003C5C5B"/>
    <w:rsid w:val="003C6498"/>
    <w:rsid w:val="003C65AA"/>
    <w:rsid w:val="003C7033"/>
    <w:rsid w:val="003C7060"/>
    <w:rsid w:val="003C7242"/>
    <w:rsid w:val="003C728B"/>
    <w:rsid w:val="003C77C4"/>
    <w:rsid w:val="003C7956"/>
    <w:rsid w:val="003C7D92"/>
    <w:rsid w:val="003C7F36"/>
    <w:rsid w:val="003D019B"/>
    <w:rsid w:val="003D0D24"/>
    <w:rsid w:val="003D1329"/>
    <w:rsid w:val="003D174B"/>
    <w:rsid w:val="003D1E8A"/>
    <w:rsid w:val="003D25CF"/>
    <w:rsid w:val="003D2954"/>
    <w:rsid w:val="003D382F"/>
    <w:rsid w:val="003D3B32"/>
    <w:rsid w:val="003D509B"/>
    <w:rsid w:val="003D53A4"/>
    <w:rsid w:val="003D53EF"/>
    <w:rsid w:val="003D57C1"/>
    <w:rsid w:val="003D5981"/>
    <w:rsid w:val="003D5991"/>
    <w:rsid w:val="003D5CB4"/>
    <w:rsid w:val="003D5E00"/>
    <w:rsid w:val="003D5EDF"/>
    <w:rsid w:val="003D6748"/>
    <w:rsid w:val="003D682F"/>
    <w:rsid w:val="003D6F46"/>
    <w:rsid w:val="003D706F"/>
    <w:rsid w:val="003D7893"/>
    <w:rsid w:val="003D7DB4"/>
    <w:rsid w:val="003E0060"/>
    <w:rsid w:val="003E07C9"/>
    <w:rsid w:val="003E0FE5"/>
    <w:rsid w:val="003E13D2"/>
    <w:rsid w:val="003E1947"/>
    <w:rsid w:val="003E1A38"/>
    <w:rsid w:val="003E205E"/>
    <w:rsid w:val="003E2C94"/>
    <w:rsid w:val="003E333D"/>
    <w:rsid w:val="003E3900"/>
    <w:rsid w:val="003E3940"/>
    <w:rsid w:val="003E4333"/>
    <w:rsid w:val="003E433A"/>
    <w:rsid w:val="003E4365"/>
    <w:rsid w:val="003E44B9"/>
    <w:rsid w:val="003E4547"/>
    <w:rsid w:val="003E48CA"/>
    <w:rsid w:val="003E48F0"/>
    <w:rsid w:val="003E4C9E"/>
    <w:rsid w:val="003E5287"/>
    <w:rsid w:val="003E5414"/>
    <w:rsid w:val="003E5528"/>
    <w:rsid w:val="003E66C7"/>
    <w:rsid w:val="003E6F0A"/>
    <w:rsid w:val="003E750B"/>
    <w:rsid w:val="003E76DA"/>
    <w:rsid w:val="003E7E0B"/>
    <w:rsid w:val="003F002B"/>
    <w:rsid w:val="003F027C"/>
    <w:rsid w:val="003F05EF"/>
    <w:rsid w:val="003F096C"/>
    <w:rsid w:val="003F17BF"/>
    <w:rsid w:val="003F2445"/>
    <w:rsid w:val="003F3BC4"/>
    <w:rsid w:val="003F3CAE"/>
    <w:rsid w:val="003F3E32"/>
    <w:rsid w:val="003F4137"/>
    <w:rsid w:val="003F448C"/>
    <w:rsid w:val="003F4F35"/>
    <w:rsid w:val="003F5B33"/>
    <w:rsid w:val="003F6B30"/>
    <w:rsid w:val="003F7523"/>
    <w:rsid w:val="003F79AD"/>
    <w:rsid w:val="003F7CB4"/>
    <w:rsid w:val="003F7D53"/>
    <w:rsid w:val="0040050C"/>
    <w:rsid w:val="00400957"/>
    <w:rsid w:val="00401385"/>
    <w:rsid w:val="0040150E"/>
    <w:rsid w:val="00401581"/>
    <w:rsid w:val="00401F66"/>
    <w:rsid w:val="00402B4C"/>
    <w:rsid w:val="00402C5E"/>
    <w:rsid w:val="00404156"/>
    <w:rsid w:val="00405080"/>
    <w:rsid w:val="00405157"/>
    <w:rsid w:val="004059F3"/>
    <w:rsid w:val="00405CE4"/>
    <w:rsid w:val="0040612C"/>
    <w:rsid w:val="00406329"/>
    <w:rsid w:val="0040666E"/>
    <w:rsid w:val="004066B4"/>
    <w:rsid w:val="00406A01"/>
    <w:rsid w:val="00407511"/>
    <w:rsid w:val="00410453"/>
    <w:rsid w:val="004113C9"/>
    <w:rsid w:val="00411C6C"/>
    <w:rsid w:val="00411CF2"/>
    <w:rsid w:val="00412045"/>
    <w:rsid w:val="004127D0"/>
    <w:rsid w:val="00412E42"/>
    <w:rsid w:val="00412FE2"/>
    <w:rsid w:val="0041359E"/>
    <w:rsid w:val="00413615"/>
    <w:rsid w:val="00413979"/>
    <w:rsid w:val="00413A17"/>
    <w:rsid w:val="004146EA"/>
    <w:rsid w:val="0041503E"/>
    <w:rsid w:val="00415680"/>
    <w:rsid w:val="00416388"/>
    <w:rsid w:val="00416620"/>
    <w:rsid w:val="00416768"/>
    <w:rsid w:val="00416BAA"/>
    <w:rsid w:val="004174A6"/>
    <w:rsid w:val="00417758"/>
    <w:rsid w:val="00417F80"/>
    <w:rsid w:val="00421FE0"/>
    <w:rsid w:val="00422B8D"/>
    <w:rsid w:val="00422D9C"/>
    <w:rsid w:val="004234AE"/>
    <w:rsid w:val="00423FA6"/>
    <w:rsid w:val="004247DD"/>
    <w:rsid w:val="00424815"/>
    <w:rsid w:val="00424BC1"/>
    <w:rsid w:val="00424DF8"/>
    <w:rsid w:val="00424F59"/>
    <w:rsid w:val="004263E4"/>
    <w:rsid w:val="004264B4"/>
    <w:rsid w:val="004267C1"/>
    <w:rsid w:val="004268DE"/>
    <w:rsid w:val="004268F4"/>
    <w:rsid w:val="00427665"/>
    <w:rsid w:val="00430DDD"/>
    <w:rsid w:val="00430DF1"/>
    <w:rsid w:val="00430DF7"/>
    <w:rsid w:val="00431458"/>
    <w:rsid w:val="00431BF7"/>
    <w:rsid w:val="004326A8"/>
    <w:rsid w:val="00433EA9"/>
    <w:rsid w:val="00434072"/>
    <w:rsid w:val="00435603"/>
    <w:rsid w:val="00435E4D"/>
    <w:rsid w:val="0043613A"/>
    <w:rsid w:val="00436B82"/>
    <w:rsid w:val="00436E62"/>
    <w:rsid w:val="00436E80"/>
    <w:rsid w:val="00437AD2"/>
    <w:rsid w:val="00437D7B"/>
    <w:rsid w:val="00437E07"/>
    <w:rsid w:val="004407DC"/>
    <w:rsid w:val="004408B9"/>
    <w:rsid w:val="00440D92"/>
    <w:rsid w:val="00441336"/>
    <w:rsid w:val="004413ED"/>
    <w:rsid w:val="004414AD"/>
    <w:rsid w:val="00441B5C"/>
    <w:rsid w:val="00441BE8"/>
    <w:rsid w:val="00441F51"/>
    <w:rsid w:val="00441FFA"/>
    <w:rsid w:val="0044251E"/>
    <w:rsid w:val="00442672"/>
    <w:rsid w:val="00442723"/>
    <w:rsid w:val="00442A0F"/>
    <w:rsid w:val="00442BFA"/>
    <w:rsid w:val="004430F9"/>
    <w:rsid w:val="004431E3"/>
    <w:rsid w:val="0044372A"/>
    <w:rsid w:val="00443A11"/>
    <w:rsid w:val="00443C32"/>
    <w:rsid w:val="00444557"/>
    <w:rsid w:val="0044455C"/>
    <w:rsid w:val="00444BC6"/>
    <w:rsid w:val="00444BD3"/>
    <w:rsid w:val="00444BE9"/>
    <w:rsid w:val="00444E20"/>
    <w:rsid w:val="00444E83"/>
    <w:rsid w:val="004451C8"/>
    <w:rsid w:val="00445350"/>
    <w:rsid w:val="00445B3B"/>
    <w:rsid w:val="004460FB"/>
    <w:rsid w:val="00446150"/>
    <w:rsid w:val="0044729F"/>
    <w:rsid w:val="004473B0"/>
    <w:rsid w:val="00447A44"/>
    <w:rsid w:val="00447B0E"/>
    <w:rsid w:val="00447E2D"/>
    <w:rsid w:val="00450404"/>
    <w:rsid w:val="0045089F"/>
    <w:rsid w:val="00450E47"/>
    <w:rsid w:val="004515DC"/>
    <w:rsid w:val="00451CDC"/>
    <w:rsid w:val="0045200B"/>
    <w:rsid w:val="00453CE6"/>
    <w:rsid w:val="00454236"/>
    <w:rsid w:val="0045522D"/>
    <w:rsid w:val="00455546"/>
    <w:rsid w:val="00455B79"/>
    <w:rsid w:val="00455D20"/>
    <w:rsid w:val="00455D6B"/>
    <w:rsid w:val="00457022"/>
    <w:rsid w:val="00457102"/>
    <w:rsid w:val="00457180"/>
    <w:rsid w:val="00457571"/>
    <w:rsid w:val="0045781F"/>
    <w:rsid w:val="00457C67"/>
    <w:rsid w:val="00460752"/>
    <w:rsid w:val="004608C0"/>
    <w:rsid w:val="00460D2B"/>
    <w:rsid w:val="0046176C"/>
    <w:rsid w:val="00461A5C"/>
    <w:rsid w:val="004634A7"/>
    <w:rsid w:val="00463885"/>
    <w:rsid w:val="00463ED4"/>
    <w:rsid w:val="00464203"/>
    <w:rsid w:val="00465524"/>
    <w:rsid w:val="004655BD"/>
    <w:rsid w:val="004659A6"/>
    <w:rsid w:val="004660D2"/>
    <w:rsid w:val="004665FE"/>
    <w:rsid w:val="00466706"/>
    <w:rsid w:val="0046673D"/>
    <w:rsid w:val="00467528"/>
    <w:rsid w:val="00467756"/>
    <w:rsid w:val="00467DD1"/>
    <w:rsid w:val="0047051C"/>
    <w:rsid w:val="004714E3"/>
    <w:rsid w:val="00471C89"/>
    <w:rsid w:val="00471F0F"/>
    <w:rsid w:val="0047202B"/>
    <w:rsid w:val="00472BC6"/>
    <w:rsid w:val="00472CBE"/>
    <w:rsid w:val="00472ED1"/>
    <w:rsid w:val="00473B2E"/>
    <w:rsid w:val="00473F02"/>
    <w:rsid w:val="00474B47"/>
    <w:rsid w:val="00474EFD"/>
    <w:rsid w:val="004768CD"/>
    <w:rsid w:val="004769AE"/>
    <w:rsid w:val="00476D3A"/>
    <w:rsid w:val="00477395"/>
    <w:rsid w:val="00477C69"/>
    <w:rsid w:val="00477DF1"/>
    <w:rsid w:val="00480823"/>
    <w:rsid w:val="00480D00"/>
    <w:rsid w:val="00481AFE"/>
    <w:rsid w:val="00482A0D"/>
    <w:rsid w:val="00482F87"/>
    <w:rsid w:val="004838D6"/>
    <w:rsid w:val="00484728"/>
    <w:rsid w:val="0048473F"/>
    <w:rsid w:val="00485499"/>
    <w:rsid w:val="00485505"/>
    <w:rsid w:val="004858B3"/>
    <w:rsid w:val="00485C1E"/>
    <w:rsid w:val="004868AF"/>
    <w:rsid w:val="00487428"/>
    <w:rsid w:val="00490018"/>
    <w:rsid w:val="004902A0"/>
    <w:rsid w:val="004917D2"/>
    <w:rsid w:val="004917F3"/>
    <w:rsid w:val="00491CB8"/>
    <w:rsid w:val="00491F6B"/>
    <w:rsid w:val="00492191"/>
    <w:rsid w:val="004921D1"/>
    <w:rsid w:val="0049242A"/>
    <w:rsid w:val="00492588"/>
    <w:rsid w:val="004934E0"/>
    <w:rsid w:val="00493504"/>
    <w:rsid w:val="00493C6F"/>
    <w:rsid w:val="0049412C"/>
    <w:rsid w:val="00494270"/>
    <w:rsid w:val="00494316"/>
    <w:rsid w:val="00495C68"/>
    <w:rsid w:val="00495DCE"/>
    <w:rsid w:val="00495F54"/>
    <w:rsid w:val="0049618F"/>
    <w:rsid w:val="00496960"/>
    <w:rsid w:val="00497123"/>
    <w:rsid w:val="004971F0"/>
    <w:rsid w:val="004979CB"/>
    <w:rsid w:val="00497A02"/>
    <w:rsid w:val="004A0037"/>
    <w:rsid w:val="004A08DA"/>
    <w:rsid w:val="004A0F00"/>
    <w:rsid w:val="004A0FC3"/>
    <w:rsid w:val="004A1057"/>
    <w:rsid w:val="004A1A17"/>
    <w:rsid w:val="004A20DF"/>
    <w:rsid w:val="004A3203"/>
    <w:rsid w:val="004A3333"/>
    <w:rsid w:val="004A42E1"/>
    <w:rsid w:val="004A460E"/>
    <w:rsid w:val="004A4EBB"/>
    <w:rsid w:val="004A5380"/>
    <w:rsid w:val="004A5582"/>
    <w:rsid w:val="004A572A"/>
    <w:rsid w:val="004A5CEE"/>
    <w:rsid w:val="004A5DDB"/>
    <w:rsid w:val="004A735A"/>
    <w:rsid w:val="004A7EBB"/>
    <w:rsid w:val="004A7FC5"/>
    <w:rsid w:val="004B0587"/>
    <w:rsid w:val="004B0639"/>
    <w:rsid w:val="004B13F2"/>
    <w:rsid w:val="004B192E"/>
    <w:rsid w:val="004B1965"/>
    <w:rsid w:val="004B1B0E"/>
    <w:rsid w:val="004B1DC6"/>
    <w:rsid w:val="004B2FCB"/>
    <w:rsid w:val="004B33CC"/>
    <w:rsid w:val="004B359D"/>
    <w:rsid w:val="004B370B"/>
    <w:rsid w:val="004B37AB"/>
    <w:rsid w:val="004B3F5B"/>
    <w:rsid w:val="004B404F"/>
    <w:rsid w:val="004B4D5E"/>
    <w:rsid w:val="004B564F"/>
    <w:rsid w:val="004B5C05"/>
    <w:rsid w:val="004B6285"/>
    <w:rsid w:val="004B62BC"/>
    <w:rsid w:val="004B6B72"/>
    <w:rsid w:val="004B720C"/>
    <w:rsid w:val="004B7EE0"/>
    <w:rsid w:val="004C0B18"/>
    <w:rsid w:val="004C15F6"/>
    <w:rsid w:val="004C20B7"/>
    <w:rsid w:val="004C2AE3"/>
    <w:rsid w:val="004C2B26"/>
    <w:rsid w:val="004C2E71"/>
    <w:rsid w:val="004C30B5"/>
    <w:rsid w:val="004C3FA9"/>
    <w:rsid w:val="004C42A8"/>
    <w:rsid w:val="004C4456"/>
    <w:rsid w:val="004C52A4"/>
    <w:rsid w:val="004C549D"/>
    <w:rsid w:val="004C5930"/>
    <w:rsid w:val="004C6A1B"/>
    <w:rsid w:val="004C711C"/>
    <w:rsid w:val="004C71EB"/>
    <w:rsid w:val="004C7F20"/>
    <w:rsid w:val="004D04E9"/>
    <w:rsid w:val="004D0633"/>
    <w:rsid w:val="004D0744"/>
    <w:rsid w:val="004D0850"/>
    <w:rsid w:val="004D1625"/>
    <w:rsid w:val="004D1871"/>
    <w:rsid w:val="004D1ED8"/>
    <w:rsid w:val="004D275D"/>
    <w:rsid w:val="004D2968"/>
    <w:rsid w:val="004D2F2A"/>
    <w:rsid w:val="004D3511"/>
    <w:rsid w:val="004D3E6F"/>
    <w:rsid w:val="004D3EEE"/>
    <w:rsid w:val="004D3F4B"/>
    <w:rsid w:val="004D41F5"/>
    <w:rsid w:val="004D4430"/>
    <w:rsid w:val="004D590F"/>
    <w:rsid w:val="004D5916"/>
    <w:rsid w:val="004D6C44"/>
    <w:rsid w:val="004D71B4"/>
    <w:rsid w:val="004D75F6"/>
    <w:rsid w:val="004D79C5"/>
    <w:rsid w:val="004E02F5"/>
    <w:rsid w:val="004E09C1"/>
    <w:rsid w:val="004E1A33"/>
    <w:rsid w:val="004E24D4"/>
    <w:rsid w:val="004E2C2E"/>
    <w:rsid w:val="004E2E1D"/>
    <w:rsid w:val="004E3062"/>
    <w:rsid w:val="004E31A3"/>
    <w:rsid w:val="004E33C1"/>
    <w:rsid w:val="004E3C2E"/>
    <w:rsid w:val="004E4676"/>
    <w:rsid w:val="004E562C"/>
    <w:rsid w:val="004E5A72"/>
    <w:rsid w:val="004E5F37"/>
    <w:rsid w:val="004E5FF2"/>
    <w:rsid w:val="004E6193"/>
    <w:rsid w:val="004E63D0"/>
    <w:rsid w:val="004E69DD"/>
    <w:rsid w:val="004E6FA5"/>
    <w:rsid w:val="004E7624"/>
    <w:rsid w:val="004E7EB4"/>
    <w:rsid w:val="004F05D7"/>
    <w:rsid w:val="004F0D58"/>
    <w:rsid w:val="004F0D68"/>
    <w:rsid w:val="004F1067"/>
    <w:rsid w:val="004F1548"/>
    <w:rsid w:val="004F17EF"/>
    <w:rsid w:val="004F1DD4"/>
    <w:rsid w:val="004F2CF9"/>
    <w:rsid w:val="004F3E5B"/>
    <w:rsid w:val="004F40B4"/>
    <w:rsid w:val="004F57F1"/>
    <w:rsid w:val="004F68A3"/>
    <w:rsid w:val="004F70AE"/>
    <w:rsid w:val="004F757E"/>
    <w:rsid w:val="004F799E"/>
    <w:rsid w:val="004F7F32"/>
    <w:rsid w:val="00500753"/>
    <w:rsid w:val="00500F40"/>
    <w:rsid w:val="0050152C"/>
    <w:rsid w:val="00501698"/>
    <w:rsid w:val="00501EED"/>
    <w:rsid w:val="00502FA2"/>
    <w:rsid w:val="005035CE"/>
    <w:rsid w:val="005036A0"/>
    <w:rsid w:val="005039EF"/>
    <w:rsid w:val="00503DB4"/>
    <w:rsid w:val="00504B2C"/>
    <w:rsid w:val="00504C02"/>
    <w:rsid w:val="00504D60"/>
    <w:rsid w:val="00504F48"/>
    <w:rsid w:val="00504F78"/>
    <w:rsid w:val="0050528B"/>
    <w:rsid w:val="00505842"/>
    <w:rsid w:val="005058E5"/>
    <w:rsid w:val="00505D2D"/>
    <w:rsid w:val="0050735D"/>
    <w:rsid w:val="00510095"/>
    <w:rsid w:val="00510177"/>
    <w:rsid w:val="005101B8"/>
    <w:rsid w:val="005101C6"/>
    <w:rsid w:val="0051084C"/>
    <w:rsid w:val="00510D89"/>
    <w:rsid w:val="00510F7C"/>
    <w:rsid w:val="00511045"/>
    <w:rsid w:val="005114E6"/>
    <w:rsid w:val="005115AF"/>
    <w:rsid w:val="00511A59"/>
    <w:rsid w:val="00511B57"/>
    <w:rsid w:val="00511BD6"/>
    <w:rsid w:val="00511FB1"/>
    <w:rsid w:val="00512071"/>
    <w:rsid w:val="00512459"/>
    <w:rsid w:val="0051264F"/>
    <w:rsid w:val="00512B24"/>
    <w:rsid w:val="00512B7C"/>
    <w:rsid w:val="0051315C"/>
    <w:rsid w:val="00513C53"/>
    <w:rsid w:val="00514F95"/>
    <w:rsid w:val="005151DD"/>
    <w:rsid w:val="005158BF"/>
    <w:rsid w:val="00515AD1"/>
    <w:rsid w:val="00516106"/>
    <w:rsid w:val="0051660C"/>
    <w:rsid w:val="0051678E"/>
    <w:rsid w:val="00516990"/>
    <w:rsid w:val="00516F56"/>
    <w:rsid w:val="005170F8"/>
    <w:rsid w:val="00517330"/>
    <w:rsid w:val="0051771C"/>
    <w:rsid w:val="00517916"/>
    <w:rsid w:val="00517C2F"/>
    <w:rsid w:val="005200A5"/>
    <w:rsid w:val="005204EB"/>
    <w:rsid w:val="00520A05"/>
    <w:rsid w:val="00521ED6"/>
    <w:rsid w:val="0052207E"/>
    <w:rsid w:val="0052216B"/>
    <w:rsid w:val="0052229E"/>
    <w:rsid w:val="0052241E"/>
    <w:rsid w:val="005226A7"/>
    <w:rsid w:val="00522BD8"/>
    <w:rsid w:val="005236F6"/>
    <w:rsid w:val="005241DE"/>
    <w:rsid w:val="005242A3"/>
    <w:rsid w:val="00524584"/>
    <w:rsid w:val="00524926"/>
    <w:rsid w:val="00524E0D"/>
    <w:rsid w:val="005253A2"/>
    <w:rsid w:val="0052545B"/>
    <w:rsid w:val="00525893"/>
    <w:rsid w:val="00525AD6"/>
    <w:rsid w:val="00526201"/>
    <w:rsid w:val="005263DF"/>
    <w:rsid w:val="005265CF"/>
    <w:rsid w:val="00526D96"/>
    <w:rsid w:val="00526F0D"/>
    <w:rsid w:val="005303F6"/>
    <w:rsid w:val="00530CE2"/>
    <w:rsid w:val="005311E6"/>
    <w:rsid w:val="00531657"/>
    <w:rsid w:val="00532431"/>
    <w:rsid w:val="00532B5F"/>
    <w:rsid w:val="00532DDD"/>
    <w:rsid w:val="005333C8"/>
    <w:rsid w:val="00533AFC"/>
    <w:rsid w:val="00533F12"/>
    <w:rsid w:val="0053448C"/>
    <w:rsid w:val="005347D8"/>
    <w:rsid w:val="00534D2E"/>
    <w:rsid w:val="00534DCB"/>
    <w:rsid w:val="00535597"/>
    <w:rsid w:val="00535BFB"/>
    <w:rsid w:val="00535D5F"/>
    <w:rsid w:val="005362A3"/>
    <w:rsid w:val="00536E37"/>
    <w:rsid w:val="005372ED"/>
    <w:rsid w:val="0053734C"/>
    <w:rsid w:val="00537F7B"/>
    <w:rsid w:val="005404F5"/>
    <w:rsid w:val="00540A05"/>
    <w:rsid w:val="00540F70"/>
    <w:rsid w:val="0054170D"/>
    <w:rsid w:val="00541B9A"/>
    <w:rsid w:val="00541E7E"/>
    <w:rsid w:val="00542421"/>
    <w:rsid w:val="00542706"/>
    <w:rsid w:val="00542A22"/>
    <w:rsid w:val="00542BF4"/>
    <w:rsid w:val="00542CF7"/>
    <w:rsid w:val="00542DE0"/>
    <w:rsid w:val="0054307B"/>
    <w:rsid w:val="00543117"/>
    <w:rsid w:val="00543564"/>
    <w:rsid w:val="00543618"/>
    <w:rsid w:val="005445CE"/>
    <w:rsid w:val="00544A2A"/>
    <w:rsid w:val="00544B24"/>
    <w:rsid w:val="0054563F"/>
    <w:rsid w:val="00545CE7"/>
    <w:rsid w:val="005461C8"/>
    <w:rsid w:val="005465F2"/>
    <w:rsid w:val="00546654"/>
    <w:rsid w:val="00547356"/>
    <w:rsid w:val="005474B0"/>
    <w:rsid w:val="0055008D"/>
    <w:rsid w:val="00550C8C"/>
    <w:rsid w:val="00550CB7"/>
    <w:rsid w:val="0055174A"/>
    <w:rsid w:val="00551848"/>
    <w:rsid w:val="005529EC"/>
    <w:rsid w:val="00552A0E"/>
    <w:rsid w:val="00552BDF"/>
    <w:rsid w:val="0055311C"/>
    <w:rsid w:val="005532C8"/>
    <w:rsid w:val="005532F6"/>
    <w:rsid w:val="00553CBB"/>
    <w:rsid w:val="00554192"/>
    <w:rsid w:val="005544F0"/>
    <w:rsid w:val="005551F4"/>
    <w:rsid w:val="005554E6"/>
    <w:rsid w:val="00555CBD"/>
    <w:rsid w:val="00555CF1"/>
    <w:rsid w:val="0055685C"/>
    <w:rsid w:val="00556937"/>
    <w:rsid w:val="00556C62"/>
    <w:rsid w:val="005573AC"/>
    <w:rsid w:val="00557C65"/>
    <w:rsid w:val="00557FE6"/>
    <w:rsid w:val="0056013A"/>
    <w:rsid w:val="005605CA"/>
    <w:rsid w:val="00560AEA"/>
    <w:rsid w:val="00560CA7"/>
    <w:rsid w:val="00560FFD"/>
    <w:rsid w:val="0056115B"/>
    <w:rsid w:val="00561385"/>
    <w:rsid w:val="0056147D"/>
    <w:rsid w:val="0056150F"/>
    <w:rsid w:val="00561956"/>
    <w:rsid w:val="00562433"/>
    <w:rsid w:val="00562B9A"/>
    <w:rsid w:val="00562F26"/>
    <w:rsid w:val="00562F6A"/>
    <w:rsid w:val="005631B4"/>
    <w:rsid w:val="005634A7"/>
    <w:rsid w:val="00563538"/>
    <w:rsid w:val="00563809"/>
    <w:rsid w:val="00563B75"/>
    <w:rsid w:val="00563DD2"/>
    <w:rsid w:val="00564904"/>
    <w:rsid w:val="0056495F"/>
    <w:rsid w:val="00564A59"/>
    <w:rsid w:val="00564A5D"/>
    <w:rsid w:val="00564F05"/>
    <w:rsid w:val="00565209"/>
    <w:rsid w:val="00565303"/>
    <w:rsid w:val="0056540D"/>
    <w:rsid w:val="0056553F"/>
    <w:rsid w:val="0056563C"/>
    <w:rsid w:val="00565941"/>
    <w:rsid w:val="00566520"/>
    <w:rsid w:val="00566793"/>
    <w:rsid w:val="00566800"/>
    <w:rsid w:val="00566CC1"/>
    <w:rsid w:val="00567282"/>
    <w:rsid w:val="005676A1"/>
    <w:rsid w:val="005678B2"/>
    <w:rsid w:val="00570179"/>
    <w:rsid w:val="005701DB"/>
    <w:rsid w:val="005703BD"/>
    <w:rsid w:val="0057040C"/>
    <w:rsid w:val="00571012"/>
    <w:rsid w:val="0057117F"/>
    <w:rsid w:val="0057156C"/>
    <w:rsid w:val="0057171F"/>
    <w:rsid w:val="00571F92"/>
    <w:rsid w:val="00572481"/>
    <w:rsid w:val="00572A43"/>
    <w:rsid w:val="00572B1D"/>
    <w:rsid w:val="00572C11"/>
    <w:rsid w:val="005730A3"/>
    <w:rsid w:val="00573C0F"/>
    <w:rsid w:val="00573F64"/>
    <w:rsid w:val="0057446A"/>
    <w:rsid w:val="00574E49"/>
    <w:rsid w:val="0057583A"/>
    <w:rsid w:val="005767AC"/>
    <w:rsid w:val="00576CB4"/>
    <w:rsid w:val="0057709A"/>
    <w:rsid w:val="0057766D"/>
    <w:rsid w:val="00577B58"/>
    <w:rsid w:val="005801F7"/>
    <w:rsid w:val="00580209"/>
    <w:rsid w:val="00580958"/>
    <w:rsid w:val="00580974"/>
    <w:rsid w:val="00580A81"/>
    <w:rsid w:val="00580D6C"/>
    <w:rsid w:val="00580FB7"/>
    <w:rsid w:val="00580FC0"/>
    <w:rsid w:val="0058124A"/>
    <w:rsid w:val="00581410"/>
    <w:rsid w:val="0058147B"/>
    <w:rsid w:val="00581876"/>
    <w:rsid w:val="005824D9"/>
    <w:rsid w:val="00582BFD"/>
    <w:rsid w:val="00582DD7"/>
    <w:rsid w:val="00583B18"/>
    <w:rsid w:val="0058416B"/>
    <w:rsid w:val="00584329"/>
    <w:rsid w:val="00584D99"/>
    <w:rsid w:val="00585546"/>
    <w:rsid w:val="00585D0B"/>
    <w:rsid w:val="005862D9"/>
    <w:rsid w:val="0058635B"/>
    <w:rsid w:val="00586398"/>
    <w:rsid w:val="00586B9B"/>
    <w:rsid w:val="00587370"/>
    <w:rsid w:val="005877EE"/>
    <w:rsid w:val="005904BC"/>
    <w:rsid w:val="0059083A"/>
    <w:rsid w:val="005909AC"/>
    <w:rsid w:val="00591643"/>
    <w:rsid w:val="005930B6"/>
    <w:rsid w:val="005939DB"/>
    <w:rsid w:val="00594564"/>
    <w:rsid w:val="0059473F"/>
    <w:rsid w:val="00594DFD"/>
    <w:rsid w:val="00594E26"/>
    <w:rsid w:val="005951DC"/>
    <w:rsid w:val="005952B1"/>
    <w:rsid w:val="00595B01"/>
    <w:rsid w:val="0059623F"/>
    <w:rsid w:val="00597509"/>
    <w:rsid w:val="00597A32"/>
    <w:rsid w:val="005A0632"/>
    <w:rsid w:val="005A0A9F"/>
    <w:rsid w:val="005A0B58"/>
    <w:rsid w:val="005A0D88"/>
    <w:rsid w:val="005A0F94"/>
    <w:rsid w:val="005A1907"/>
    <w:rsid w:val="005A1921"/>
    <w:rsid w:val="005A1A2B"/>
    <w:rsid w:val="005A2230"/>
    <w:rsid w:val="005A2249"/>
    <w:rsid w:val="005A237F"/>
    <w:rsid w:val="005A26B7"/>
    <w:rsid w:val="005A30E9"/>
    <w:rsid w:val="005A3111"/>
    <w:rsid w:val="005A3442"/>
    <w:rsid w:val="005A39BE"/>
    <w:rsid w:val="005A3B97"/>
    <w:rsid w:val="005A3FB2"/>
    <w:rsid w:val="005A45FA"/>
    <w:rsid w:val="005A50DD"/>
    <w:rsid w:val="005A5307"/>
    <w:rsid w:val="005A5A30"/>
    <w:rsid w:val="005A5C31"/>
    <w:rsid w:val="005A5E2A"/>
    <w:rsid w:val="005A6391"/>
    <w:rsid w:val="005A671B"/>
    <w:rsid w:val="005A69F4"/>
    <w:rsid w:val="005A6BCE"/>
    <w:rsid w:val="005A6FA5"/>
    <w:rsid w:val="005B0C28"/>
    <w:rsid w:val="005B0DEA"/>
    <w:rsid w:val="005B1386"/>
    <w:rsid w:val="005B1545"/>
    <w:rsid w:val="005B1FCF"/>
    <w:rsid w:val="005B20C4"/>
    <w:rsid w:val="005B211A"/>
    <w:rsid w:val="005B24FB"/>
    <w:rsid w:val="005B2748"/>
    <w:rsid w:val="005B27C9"/>
    <w:rsid w:val="005B3DF3"/>
    <w:rsid w:val="005B410E"/>
    <w:rsid w:val="005B44B5"/>
    <w:rsid w:val="005B479D"/>
    <w:rsid w:val="005B4B6D"/>
    <w:rsid w:val="005B4B8C"/>
    <w:rsid w:val="005B51EB"/>
    <w:rsid w:val="005B566E"/>
    <w:rsid w:val="005B5AD8"/>
    <w:rsid w:val="005B5CA1"/>
    <w:rsid w:val="005B626E"/>
    <w:rsid w:val="005B6A08"/>
    <w:rsid w:val="005B730C"/>
    <w:rsid w:val="005B7BFB"/>
    <w:rsid w:val="005B7EBE"/>
    <w:rsid w:val="005B7F73"/>
    <w:rsid w:val="005C09DA"/>
    <w:rsid w:val="005C0FE4"/>
    <w:rsid w:val="005C127A"/>
    <w:rsid w:val="005C1887"/>
    <w:rsid w:val="005C1B29"/>
    <w:rsid w:val="005C2152"/>
    <w:rsid w:val="005C21B4"/>
    <w:rsid w:val="005C22A7"/>
    <w:rsid w:val="005C2748"/>
    <w:rsid w:val="005C2CA5"/>
    <w:rsid w:val="005C3D79"/>
    <w:rsid w:val="005C49F0"/>
    <w:rsid w:val="005C4F03"/>
    <w:rsid w:val="005C5983"/>
    <w:rsid w:val="005C5BC3"/>
    <w:rsid w:val="005C66BD"/>
    <w:rsid w:val="005C7435"/>
    <w:rsid w:val="005C7D0C"/>
    <w:rsid w:val="005D0F6F"/>
    <w:rsid w:val="005D10B1"/>
    <w:rsid w:val="005D1C0E"/>
    <w:rsid w:val="005D1EE3"/>
    <w:rsid w:val="005D1EE8"/>
    <w:rsid w:val="005D24E3"/>
    <w:rsid w:val="005D2663"/>
    <w:rsid w:val="005D2BA3"/>
    <w:rsid w:val="005D2E3C"/>
    <w:rsid w:val="005D32D7"/>
    <w:rsid w:val="005D34C9"/>
    <w:rsid w:val="005D3BED"/>
    <w:rsid w:val="005D3F86"/>
    <w:rsid w:val="005D4501"/>
    <w:rsid w:val="005D4C5B"/>
    <w:rsid w:val="005D4DA7"/>
    <w:rsid w:val="005D4FA1"/>
    <w:rsid w:val="005D509C"/>
    <w:rsid w:val="005D5992"/>
    <w:rsid w:val="005D6725"/>
    <w:rsid w:val="005D7073"/>
    <w:rsid w:val="005D710C"/>
    <w:rsid w:val="005D726D"/>
    <w:rsid w:val="005D7277"/>
    <w:rsid w:val="005E05EB"/>
    <w:rsid w:val="005E068E"/>
    <w:rsid w:val="005E07A0"/>
    <w:rsid w:val="005E07E6"/>
    <w:rsid w:val="005E0ACC"/>
    <w:rsid w:val="005E0EA8"/>
    <w:rsid w:val="005E18FD"/>
    <w:rsid w:val="005E1C61"/>
    <w:rsid w:val="005E1FC8"/>
    <w:rsid w:val="005E2097"/>
    <w:rsid w:val="005E2B80"/>
    <w:rsid w:val="005E3B0F"/>
    <w:rsid w:val="005E4005"/>
    <w:rsid w:val="005E526E"/>
    <w:rsid w:val="005E57FE"/>
    <w:rsid w:val="005E63BF"/>
    <w:rsid w:val="005E701A"/>
    <w:rsid w:val="005E720A"/>
    <w:rsid w:val="005E72FD"/>
    <w:rsid w:val="005E7930"/>
    <w:rsid w:val="005E7E03"/>
    <w:rsid w:val="005E7E9D"/>
    <w:rsid w:val="005E7F2C"/>
    <w:rsid w:val="005F00EF"/>
    <w:rsid w:val="005F061E"/>
    <w:rsid w:val="005F0CC6"/>
    <w:rsid w:val="005F0CD3"/>
    <w:rsid w:val="005F1059"/>
    <w:rsid w:val="005F1751"/>
    <w:rsid w:val="005F1CD6"/>
    <w:rsid w:val="005F1D7B"/>
    <w:rsid w:val="005F2162"/>
    <w:rsid w:val="005F28A1"/>
    <w:rsid w:val="005F291E"/>
    <w:rsid w:val="005F2C52"/>
    <w:rsid w:val="005F2C94"/>
    <w:rsid w:val="005F2DD3"/>
    <w:rsid w:val="005F33E5"/>
    <w:rsid w:val="005F3CC1"/>
    <w:rsid w:val="005F3FAC"/>
    <w:rsid w:val="005F41DE"/>
    <w:rsid w:val="005F4AB4"/>
    <w:rsid w:val="005F55A5"/>
    <w:rsid w:val="005F57BA"/>
    <w:rsid w:val="005F5CB8"/>
    <w:rsid w:val="005F6693"/>
    <w:rsid w:val="005F68DC"/>
    <w:rsid w:val="005F7699"/>
    <w:rsid w:val="005F7989"/>
    <w:rsid w:val="005F7C3C"/>
    <w:rsid w:val="005F7D23"/>
    <w:rsid w:val="006002AB"/>
    <w:rsid w:val="006002DD"/>
    <w:rsid w:val="0060048B"/>
    <w:rsid w:val="00601011"/>
    <w:rsid w:val="00601A21"/>
    <w:rsid w:val="00601CEF"/>
    <w:rsid w:val="00601F0A"/>
    <w:rsid w:val="006022CD"/>
    <w:rsid w:val="0060242A"/>
    <w:rsid w:val="00602F8E"/>
    <w:rsid w:val="006031AA"/>
    <w:rsid w:val="0060331E"/>
    <w:rsid w:val="00603367"/>
    <w:rsid w:val="0060366F"/>
    <w:rsid w:val="0060395D"/>
    <w:rsid w:val="00603A6A"/>
    <w:rsid w:val="00604313"/>
    <w:rsid w:val="00605928"/>
    <w:rsid w:val="0060607C"/>
    <w:rsid w:val="006063DA"/>
    <w:rsid w:val="00607162"/>
    <w:rsid w:val="00607275"/>
    <w:rsid w:val="0060754F"/>
    <w:rsid w:val="00612174"/>
    <w:rsid w:val="006124ED"/>
    <w:rsid w:val="00612640"/>
    <w:rsid w:val="006135D6"/>
    <w:rsid w:val="00613C7E"/>
    <w:rsid w:val="00613E18"/>
    <w:rsid w:val="00614047"/>
    <w:rsid w:val="00614C0F"/>
    <w:rsid w:val="00615286"/>
    <w:rsid w:val="00615517"/>
    <w:rsid w:val="006160C3"/>
    <w:rsid w:val="00616156"/>
    <w:rsid w:val="006164B6"/>
    <w:rsid w:val="006166C6"/>
    <w:rsid w:val="00616AB2"/>
    <w:rsid w:val="00616B15"/>
    <w:rsid w:val="006173CE"/>
    <w:rsid w:val="00617464"/>
    <w:rsid w:val="006175EA"/>
    <w:rsid w:val="006179D3"/>
    <w:rsid w:val="00617D3C"/>
    <w:rsid w:val="00617E81"/>
    <w:rsid w:val="00617FDD"/>
    <w:rsid w:val="006205FA"/>
    <w:rsid w:val="00620E4E"/>
    <w:rsid w:val="00621737"/>
    <w:rsid w:val="0062182E"/>
    <w:rsid w:val="00622013"/>
    <w:rsid w:val="0062297E"/>
    <w:rsid w:val="00623C40"/>
    <w:rsid w:val="00623EE3"/>
    <w:rsid w:val="00623F22"/>
    <w:rsid w:val="00624201"/>
    <w:rsid w:val="006243A5"/>
    <w:rsid w:val="0062451E"/>
    <w:rsid w:val="006248A3"/>
    <w:rsid w:val="0062581C"/>
    <w:rsid w:val="00625B52"/>
    <w:rsid w:val="00625DB5"/>
    <w:rsid w:val="00626353"/>
    <w:rsid w:val="00626CC7"/>
    <w:rsid w:val="00627628"/>
    <w:rsid w:val="00630813"/>
    <w:rsid w:val="00630B46"/>
    <w:rsid w:val="00630C10"/>
    <w:rsid w:val="006312C8"/>
    <w:rsid w:val="006313E1"/>
    <w:rsid w:val="0063160E"/>
    <w:rsid w:val="0063190B"/>
    <w:rsid w:val="00632534"/>
    <w:rsid w:val="00633150"/>
    <w:rsid w:val="00633F28"/>
    <w:rsid w:val="00634148"/>
    <w:rsid w:val="00634856"/>
    <w:rsid w:val="0063532E"/>
    <w:rsid w:val="00637B9A"/>
    <w:rsid w:val="00637DCB"/>
    <w:rsid w:val="0064029C"/>
    <w:rsid w:val="006402A7"/>
    <w:rsid w:val="00640856"/>
    <w:rsid w:val="006409D7"/>
    <w:rsid w:val="00640BD1"/>
    <w:rsid w:val="0064103C"/>
    <w:rsid w:val="006410FE"/>
    <w:rsid w:val="00641522"/>
    <w:rsid w:val="00641DAE"/>
    <w:rsid w:val="006425A4"/>
    <w:rsid w:val="00642756"/>
    <w:rsid w:val="0064364F"/>
    <w:rsid w:val="00643CD5"/>
    <w:rsid w:val="00643EE5"/>
    <w:rsid w:val="00644057"/>
    <w:rsid w:val="0064431D"/>
    <w:rsid w:val="0064510B"/>
    <w:rsid w:val="00646B28"/>
    <w:rsid w:val="0064719C"/>
    <w:rsid w:val="006471C0"/>
    <w:rsid w:val="006471F8"/>
    <w:rsid w:val="00647A7C"/>
    <w:rsid w:val="00647E77"/>
    <w:rsid w:val="006511A6"/>
    <w:rsid w:val="00651492"/>
    <w:rsid w:val="00652482"/>
    <w:rsid w:val="006524FE"/>
    <w:rsid w:val="00652D4B"/>
    <w:rsid w:val="00653474"/>
    <w:rsid w:val="006535B1"/>
    <w:rsid w:val="00653AB1"/>
    <w:rsid w:val="00653CC7"/>
    <w:rsid w:val="006542D4"/>
    <w:rsid w:val="006542E9"/>
    <w:rsid w:val="0065431B"/>
    <w:rsid w:val="0065548B"/>
    <w:rsid w:val="00657219"/>
    <w:rsid w:val="00657F33"/>
    <w:rsid w:val="00660679"/>
    <w:rsid w:val="006607E6"/>
    <w:rsid w:val="00660B14"/>
    <w:rsid w:val="00660BD8"/>
    <w:rsid w:val="00660F63"/>
    <w:rsid w:val="00661453"/>
    <w:rsid w:val="00661690"/>
    <w:rsid w:val="00661CC1"/>
    <w:rsid w:val="00661EE7"/>
    <w:rsid w:val="006624AB"/>
    <w:rsid w:val="006625BF"/>
    <w:rsid w:val="006627F5"/>
    <w:rsid w:val="006633AA"/>
    <w:rsid w:val="00665BA3"/>
    <w:rsid w:val="00665C9C"/>
    <w:rsid w:val="00667331"/>
    <w:rsid w:val="00667C77"/>
    <w:rsid w:val="00667F9E"/>
    <w:rsid w:val="00670C4C"/>
    <w:rsid w:val="00670E7F"/>
    <w:rsid w:val="006723FB"/>
    <w:rsid w:val="006726A3"/>
    <w:rsid w:val="00672A1B"/>
    <w:rsid w:val="00672B66"/>
    <w:rsid w:val="00672E45"/>
    <w:rsid w:val="00673435"/>
    <w:rsid w:val="00673B1A"/>
    <w:rsid w:val="0067489B"/>
    <w:rsid w:val="006749F4"/>
    <w:rsid w:val="00676352"/>
    <w:rsid w:val="006764B8"/>
    <w:rsid w:val="006775E6"/>
    <w:rsid w:val="0067766A"/>
    <w:rsid w:val="00677C31"/>
    <w:rsid w:val="00677C77"/>
    <w:rsid w:val="00677E50"/>
    <w:rsid w:val="00680C99"/>
    <w:rsid w:val="006811CA"/>
    <w:rsid w:val="00681218"/>
    <w:rsid w:val="006815B5"/>
    <w:rsid w:val="006818E5"/>
    <w:rsid w:val="0068196C"/>
    <w:rsid w:val="00681CA7"/>
    <w:rsid w:val="00682B82"/>
    <w:rsid w:val="00682D58"/>
    <w:rsid w:val="00683091"/>
    <w:rsid w:val="0068324E"/>
    <w:rsid w:val="006842C1"/>
    <w:rsid w:val="0068488E"/>
    <w:rsid w:val="00684B1B"/>
    <w:rsid w:val="0068522A"/>
    <w:rsid w:val="00685267"/>
    <w:rsid w:val="006853FC"/>
    <w:rsid w:val="006856BE"/>
    <w:rsid w:val="00685854"/>
    <w:rsid w:val="00685F97"/>
    <w:rsid w:val="00685FD9"/>
    <w:rsid w:val="0068699A"/>
    <w:rsid w:val="00686AAE"/>
    <w:rsid w:val="00686C50"/>
    <w:rsid w:val="006878C2"/>
    <w:rsid w:val="00687D8E"/>
    <w:rsid w:val="0069043D"/>
    <w:rsid w:val="00690440"/>
    <w:rsid w:val="00690539"/>
    <w:rsid w:val="00690FA7"/>
    <w:rsid w:val="00691C63"/>
    <w:rsid w:val="00692976"/>
    <w:rsid w:val="006939B6"/>
    <w:rsid w:val="0069549A"/>
    <w:rsid w:val="00695624"/>
    <w:rsid w:val="00695776"/>
    <w:rsid w:val="00695D0E"/>
    <w:rsid w:val="006A02D1"/>
    <w:rsid w:val="006A032C"/>
    <w:rsid w:val="006A0EC7"/>
    <w:rsid w:val="006A1730"/>
    <w:rsid w:val="006A252F"/>
    <w:rsid w:val="006A2695"/>
    <w:rsid w:val="006A2938"/>
    <w:rsid w:val="006A2C8E"/>
    <w:rsid w:val="006A338C"/>
    <w:rsid w:val="006A3D84"/>
    <w:rsid w:val="006A3E1D"/>
    <w:rsid w:val="006A3E63"/>
    <w:rsid w:val="006A3E64"/>
    <w:rsid w:val="006A4222"/>
    <w:rsid w:val="006A4372"/>
    <w:rsid w:val="006A47E2"/>
    <w:rsid w:val="006A4E97"/>
    <w:rsid w:val="006A4F2D"/>
    <w:rsid w:val="006A5BD7"/>
    <w:rsid w:val="006A5DF9"/>
    <w:rsid w:val="006A6042"/>
    <w:rsid w:val="006A60EE"/>
    <w:rsid w:val="006A68F5"/>
    <w:rsid w:val="006A6CB5"/>
    <w:rsid w:val="006A70D4"/>
    <w:rsid w:val="006A7701"/>
    <w:rsid w:val="006B01E1"/>
    <w:rsid w:val="006B0DE9"/>
    <w:rsid w:val="006B2363"/>
    <w:rsid w:val="006B24E6"/>
    <w:rsid w:val="006B2CC1"/>
    <w:rsid w:val="006B2DEF"/>
    <w:rsid w:val="006B2EEE"/>
    <w:rsid w:val="006B33CD"/>
    <w:rsid w:val="006B357D"/>
    <w:rsid w:val="006B36E1"/>
    <w:rsid w:val="006B377F"/>
    <w:rsid w:val="006B3885"/>
    <w:rsid w:val="006B490C"/>
    <w:rsid w:val="006B4912"/>
    <w:rsid w:val="006B4A84"/>
    <w:rsid w:val="006B5878"/>
    <w:rsid w:val="006B5A06"/>
    <w:rsid w:val="006B5CE5"/>
    <w:rsid w:val="006B6387"/>
    <w:rsid w:val="006B6A29"/>
    <w:rsid w:val="006B7C12"/>
    <w:rsid w:val="006B7D50"/>
    <w:rsid w:val="006C0919"/>
    <w:rsid w:val="006C0BE4"/>
    <w:rsid w:val="006C1C99"/>
    <w:rsid w:val="006C1E19"/>
    <w:rsid w:val="006C1F77"/>
    <w:rsid w:val="006C20E9"/>
    <w:rsid w:val="006C2727"/>
    <w:rsid w:val="006C3253"/>
    <w:rsid w:val="006C3343"/>
    <w:rsid w:val="006C381D"/>
    <w:rsid w:val="006C3F25"/>
    <w:rsid w:val="006C40EF"/>
    <w:rsid w:val="006C4698"/>
    <w:rsid w:val="006C487A"/>
    <w:rsid w:val="006C4CBA"/>
    <w:rsid w:val="006C59E5"/>
    <w:rsid w:val="006C61D9"/>
    <w:rsid w:val="006C662B"/>
    <w:rsid w:val="006C777E"/>
    <w:rsid w:val="006C79A9"/>
    <w:rsid w:val="006C7E11"/>
    <w:rsid w:val="006D0ACC"/>
    <w:rsid w:val="006D2228"/>
    <w:rsid w:val="006D22DE"/>
    <w:rsid w:val="006D2ACD"/>
    <w:rsid w:val="006D2CED"/>
    <w:rsid w:val="006D3362"/>
    <w:rsid w:val="006D3435"/>
    <w:rsid w:val="006D3970"/>
    <w:rsid w:val="006D4042"/>
    <w:rsid w:val="006D4221"/>
    <w:rsid w:val="006D453A"/>
    <w:rsid w:val="006D4915"/>
    <w:rsid w:val="006D5540"/>
    <w:rsid w:val="006D58EB"/>
    <w:rsid w:val="006D7007"/>
    <w:rsid w:val="006D700A"/>
    <w:rsid w:val="006D7626"/>
    <w:rsid w:val="006D76E8"/>
    <w:rsid w:val="006D7A55"/>
    <w:rsid w:val="006D7AA3"/>
    <w:rsid w:val="006E0855"/>
    <w:rsid w:val="006E0DD2"/>
    <w:rsid w:val="006E0ED5"/>
    <w:rsid w:val="006E1D3D"/>
    <w:rsid w:val="006E2295"/>
    <w:rsid w:val="006E275B"/>
    <w:rsid w:val="006E2A7C"/>
    <w:rsid w:val="006E2D7A"/>
    <w:rsid w:val="006E2E32"/>
    <w:rsid w:val="006E3B9A"/>
    <w:rsid w:val="006E3DE3"/>
    <w:rsid w:val="006E4BFA"/>
    <w:rsid w:val="006E5969"/>
    <w:rsid w:val="006E5FFB"/>
    <w:rsid w:val="006E60CC"/>
    <w:rsid w:val="006E61D1"/>
    <w:rsid w:val="006E648E"/>
    <w:rsid w:val="006E7C1E"/>
    <w:rsid w:val="006F07A3"/>
    <w:rsid w:val="006F07BE"/>
    <w:rsid w:val="006F0990"/>
    <w:rsid w:val="006F1396"/>
    <w:rsid w:val="006F22DF"/>
    <w:rsid w:val="006F23FC"/>
    <w:rsid w:val="006F299E"/>
    <w:rsid w:val="006F2CA5"/>
    <w:rsid w:val="006F31D6"/>
    <w:rsid w:val="006F3461"/>
    <w:rsid w:val="006F39BE"/>
    <w:rsid w:val="006F3D9C"/>
    <w:rsid w:val="006F3E6C"/>
    <w:rsid w:val="006F47A2"/>
    <w:rsid w:val="006F4892"/>
    <w:rsid w:val="006F5E31"/>
    <w:rsid w:val="006F60A5"/>
    <w:rsid w:val="006F6B46"/>
    <w:rsid w:val="006F753A"/>
    <w:rsid w:val="006F78D9"/>
    <w:rsid w:val="006F7AD6"/>
    <w:rsid w:val="006F7DA5"/>
    <w:rsid w:val="006F7F1E"/>
    <w:rsid w:val="006F7FB8"/>
    <w:rsid w:val="00700DA9"/>
    <w:rsid w:val="007014CC"/>
    <w:rsid w:val="00701BB4"/>
    <w:rsid w:val="00702A83"/>
    <w:rsid w:val="00702C18"/>
    <w:rsid w:val="00702FB1"/>
    <w:rsid w:val="00703CC1"/>
    <w:rsid w:val="00703FC7"/>
    <w:rsid w:val="00704B7D"/>
    <w:rsid w:val="00704C08"/>
    <w:rsid w:val="007051C4"/>
    <w:rsid w:val="00705371"/>
    <w:rsid w:val="00705894"/>
    <w:rsid w:val="00705ACA"/>
    <w:rsid w:val="00705D40"/>
    <w:rsid w:val="007069E4"/>
    <w:rsid w:val="00707087"/>
    <w:rsid w:val="00707D3E"/>
    <w:rsid w:val="00710201"/>
    <w:rsid w:val="00710369"/>
    <w:rsid w:val="0071088E"/>
    <w:rsid w:val="007108BC"/>
    <w:rsid w:val="00710C23"/>
    <w:rsid w:val="007110CC"/>
    <w:rsid w:val="0071136E"/>
    <w:rsid w:val="00711BF0"/>
    <w:rsid w:val="00712067"/>
    <w:rsid w:val="007121A3"/>
    <w:rsid w:val="007128C2"/>
    <w:rsid w:val="007134EF"/>
    <w:rsid w:val="007137F0"/>
    <w:rsid w:val="00713A7F"/>
    <w:rsid w:val="0071446C"/>
    <w:rsid w:val="00714623"/>
    <w:rsid w:val="00714CD0"/>
    <w:rsid w:val="00714DBC"/>
    <w:rsid w:val="00716580"/>
    <w:rsid w:val="00716F08"/>
    <w:rsid w:val="0071777E"/>
    <w:rsid w:val="00717A2E"/>
    <w:rsid w:val="00717AD6"/>
    <w:rsid w:val="00717CBE"/>
    <w:rsid w:val="00717EFE"/>
    <w:rsid w:val="00717F5C"/>
    <w:rsid w:val="00720195"/>
    <w:rsid w:val="0072036D"/>
    <w:rsid w:val="0072047C"/>
    <w:rsid w:val="007207AA"/>
    <w:rsid w:val="0072101B"/>
    <w:rsid w:val="007214F0"/>
    <w:rsid w:val="00721C2C"/>
    <w:rsid w:val="00721DFF"/>
    <w:rsid w:val="00721EE8"/>
    <w:rsid w:val="00722884"/>
    <w:rsid w:val="00722997"/>
    <w:rsid w:val="00722FCC"/>
    <w:rsid w:val="007230B6"/>
    <w:rsid w:val="007234AD"/>
    <w:rsid w:val="00723C78"/>
    <w:rsid w:val="00723C93"/>
    <w:rsid w:val="007241F2"/>
    <w:rsid w:val="00724EF2"/>
    <w:rsid w:val="00725BDD"/>
    <w:rsid w:val="0072618E"/>
    <w:rsid w:val="007262A7"/>
    <w:rsid w:val="00726F46"/>
    <w:rsid w:val="007272E4"/>
    <w:rsid w:val="007274B1"/>
    <w:rsid w:val="00727526"/>
    <w:rsid w:val="007301F7"/>
    <w:rsid w:val="007313C3"/>
    <w:rsid w:val="00731575"/>
    <w:rsid w:val="00731B92"/>
    <w:rsid w:val="00731CB9"/>
    <w:rsid w:val="00731EB3"/>
    <w:rsid w:val="00732199"/>
    <w:rsid w:val="007323EE"/>
    <w:rsid w:val="007324D2"/>
    <w:rsid w:val="0073255F"/>
    <w:rsid w:val="0073290C"/>
    <w:rsid w:val="00732953"/>
    <w:rsid w:val="00732CA8"/>
    <w:rsid w:val="00732CF2"/>
    <w:rsid w:val="00733B1B"/>
    <w:rsid w:val="00733CAC"/>
    <w:rsid w:val="00733E44"/>
    <w:rsid w:val="00734692"/>
    <w:rsid w:val="00734C0D"/>
    <w:rsid w:val="00735BD0"/>
    <w:rsid w:val="00735F13"/>
    <w:rsid w:val="0073604A"/>
    <w:rsid w:val="007362D2"/>
    <w:rsid w:val="00736E80"/>
    <w:rsid w:val="00740146"/>
    <w:rsid w:val="00740D7B"/>
    <w:rsid w:val="007428EC"/>
    <w:rsid w:val="00742DA5"/>
    <w:rsid w:val="00742EDF"/>
    <w:rsid w:val="00743B6F"/>
    <w:rsid w:val="007446A2"/>
    <w:rsid w:val="00744792"/>
    <w:rsid w:val="00744794"/>
    <w:rsid w:val="007447D8"/>
    <w:rsid w:val="007449DC"/>
    <w:rsid w:val="00744B23"/>
    <w:rsid w:val="00745D50"/>
    <w:rsid w:val="007464CF"/>
    <w:rsid w:val="007466D9"/>
    <w:rsid w:val="007472ED"/>
    <w:rsid w:val="00747A67"/>
    <w:rsid w:val="0075071B"/>
    <w:rsid w:val="007514FB"/>
    <w:rsid w:val="0075193C"/>
    <w:rsid w:val="0075357E"/>
    <w:rsid w:val="00753769"/>
    <w:rsid w:val="0075397B"/>
    <w:rsid w:val="007539E2"/>
    <w:rsid w:val="00754868"/>
    <w:rsid w:val="00754B14"/>
    <w:rsid w:val="00754BC2"/>
    <w:rsid w:val="00754C21"/>
    <w:rsid w:val="0075504A"/>
    <w:rsid w:val="00755313"/>
    <w:rsid w:val="0075574A"/>
    <w:rsid w:val="007559B5"/>
    <w:rsid w:val="00755CA7"/>
    <w:rsid w:val="00755F98"/>
    <w:rsid w:val="007560D5"/>
    <w:rsid w:val="007562C2"/>
    <w:rsid w:val="00756560"/>
    <w:rsid w:val="00756D79"/>
    <w:rsid w:val="007604D8"/>
    <w:rsid w:val="00761566"/>
    <w:rsid w:val="00761B60"/>
    <w:rsid w:val="00761D6E"/>
    <w:rsid w:val="00763584"/>
    <w:rsid w:val="00763693"/>
    <w:rsid w:val="007636FB"/>
    <w:rsid w:val="0076393B"/>
    <w:rsid w:val="00763D3C"/>
    <w:rsid w:val="0076425C"/>
    <w:rsid w:val="00764755"/>
    <w:rsid w:val="0076494E"/>
    <w:rsid w:val="00764D33"/>
    <w:rsid w:val="00765163"/>
    <w:rsid w:val="007653FA"/>
    <w:rsid w:val="007660D6"/>
    <w:rsid w:val="00766A95"/>
    <w:rsid w:val="00766AB7"/>
    <w:rsid w:val="00766E7E"/>
    <w:rsid w:val="00766EF6"/>
    <w:rsid w:val="00767651"/>
    <w:rsid w:val="00767950"/>
    <w:rsid w:val="0077090B"/>
    <w:rsid w:val="00770ACF"/>
    <w:rsid w:val="00770D0F"/>
    <w:rsid w:val="00771D2C"/>
    <w:rsid w:val="00772852"/>
    <w:rsid w:val="0077289A"/>
    <w:rsid w:val="007729D6"/>
    <w:rsid w:val="00772B5B"/>
    <w:rsid w:val="00773B42"/>
    <w:rsid w:val="00774115"/>
    <w:rsid w:val="0077484E"/>
    <w:rsid w:val="00774BF9"/>
    <w:rsid w:val="00774F6C"/>
    <w:rsid w:val="00775533"/>
    <w:rsid w:val="00776997"/>
    <w:rsid w:val="007770EB"/>
    <w:rsid w:val="00777245"/>
    <w:rsid w:val="00777735"/>
    <w:rsid w:val="00777955"/>
    <w:rsid w:val="007800FA"/>
    <w:rsid w:val="0078032D"/>
    <w:rsid w:val="0078038F"/>
    <w:rsid w:val="00780D0D"/>
    <w:rsid w:val="00780E98"/>
    <w:rsid w:val="00781697"/>
    <w:rsid w:val="00781958"/>
    <w:rsid w:val="0078198B"/>
    <w:rsid w:val="00781A67"/>
    <w:rsid w:val="00782A34"/>
    <w:rsid w:val="007839E5"/>
    <w:rsid w:val="0078400C"/>
    <w:rsid w:val="0078469D"/>
    <w:rsid w:val="00784DDE"/>
    <w:rsid w:val="007851B2"/>
    <w:rsid w:val="007855E6"/>
    <w:rsid w:val="00785691"/>
    <w:rsid w:val="0078572E"/>
    <w:rsid w:val="007863D7"/>
    <w:rsid w:val="0078676C"/>
    <w:rsid w:val="0079025C"/>
    <w:rsid w:val="00790320"/>
    <w:rsid w:val="00790691"/>
    <w:rsid w:val="00790A0D"/>
    <w:rsid w:val="00791012"/>
    <w:rsid w:val="00791AF6"/>
    <w:rsid w:val="00791E00"/>
    <w:rsid w:val="00791E95"/>
    <w:rsid w:val="007925C9"/>
    <w:rsid w:val="00792BD0"/>
    <w:rsid w:val="00792ED6"/>
    <w:rsid w:val="0079355D"/>
    <w:rsid w:val="00793874"/>
    <w:rsid w:val="0079431F"/>
    <w:rsid w:val="0079446E"/>
    <w:rsid w:val="00794CDB"/>
    <w:rsid w:val="00795242"/>
    <w:rsid w:val="007958A9"/>
    <w:rsid w:val="0079650F"/>
    <w:rsid w:val="00796850"/>
    <w:rsid w:val="00796C17"/>
    <w:rsid w:val="0079719A"/>
    <w:rsid w:val="00797467"/>
    <w:rsid w:val="007A0010"/>
    <w:rsid w:val="007A083D"/>
    <w:rsid w:val="007A08E6"/>
    <w:rsid w:val="007A0C97"/>
    <w:rsid w:val="007A0FD8"/>
    <w:rsid w:val="007A1D99"/>
    <w:rsid w:val="007A204D"/>
    <w:rsid w:val="007A2186"/>
    <w:rsid w:val="007A243A"/>
    <w:rsid w:val="007A2904"/>
    <w:rsid w:val="007A29C7"/>
    <w:rsid w:val="007A33A4"/>
    <w:rsid w:val="007A3D7E"/>
    <w:rsid w:val="007A40DB"/>
    <w:rsid w:val="007A4480"/>
    <w:rsid w:val="007A59D2"/>
    <w:rsid w:val="007A5C1E"/>
    <w:rsid w:val="007A6463"/>
    <w:rsid w:val="007A6C22"/>
    <w:rsid w:val="007A6ED7"/>
    <w:rsid w:val="007A721A"/>
    <w:rsid w:val="007A7403"/>
    <w:rsid w:val="007A7464"/>
    <w:rsid w:val="007A7EB2"/>
    <w:rsid w:val="007B0208"/>
    <w:rsid w:val="007B0295"/>
    <w:rsid w:val="007B0648"/>
    <w:rsid w:val="007B0665"/>
    <w:rsid w:val="007B0CDB"/>
    <w:rsid w:val="007B117E"/>
    <w:rsid w:val="007B12E3"/>
    <w:rsid w:val="007B148A"/>
    <w:rsid w:val="007B161F"/>
    <w:rsid w:val="007B1854"/>
    <w:rsid w:val="007B238C"/>
    <w:rsid w:val="007B23E7"/>
    <w:rsid w:val="007B2A17"/>
    <w:rsid w:val="007B2B18"/>
    <w:rsid w:val="007B3228"/>
    <w:rsid w:val="007B32CE"/>
    <w:rsid w:val="007B33E5"/>
    <w:rsid w:val="007B375E"/>
    <w:rsid w:val="007B382F"/>
    <w:rsid w:val="007B3BF0"/>
    <w:rsid w:val="007B4AE7"/>
    <w:rsid w:val="007B5367"/>
    <w:rsid w:val="007B5462"/>
    <w:rsid w:val="007B5E44"/>
    <w:rsid w:val="007B5E9A"/>
    <w:rsid w:val="007B620A"/>
    <w:rsid w:val="007B6ABC"/>
    <w:rsid w:val="007B6AF9"/>
    <w:rsid w:val="007B6C1C"/>
    <w:rsid w:val="007B6E72"/>
    <w:rsid w:val="007B786A"/>
    <w:rsid w:val="007B7B5E"/>
    <w:rsid w:val="007C033D"/>
    <w:rsid w:val="007C039B"/>
    <w:rsid w:val="007C0673"/>
    <w:rsid w:val="007C0F5B"/>
    <w:rsid w:val="007C147F"/>
    <w:rsid w:val="007C1642"/>
    <w:rsid w:val="007C1AEF"/>
    <w:rsid w:val="007C1FE0"/>
    <w:rsid w:val="007C2165"/>
    <w:rsid w:val="007C2B8D"/>
    <w:rsid w:val="007C2C0C"/>
    <w:rsid w:val="007C31B0"/>
    <w:rsid w:val="007C36D5"/>
    <w:rsid w:val="007C37A6"/>
    <w:rsid w:val="007C3B08"/>
    <w:rsid w:val="007C42A1"/>
    <w:rsid w:val="007C44CF"/>
    <w:rsid w:val="007C44EB"/>
    <w:rsid w:val="007C466F"/>
    <w:rsid w:val="007C4FEB"/>
    <w:rsid w:val="007C580D"/>
    <w:rsid w:val="007C5E44"/>
    <w:rsid w:val="007C65E5"/>
    <w:rsid w:val="007C6918"/>
    <w:rsid w:val="007C6EED"/>
    <w:rsid w:val="007C7031"/>
    <w:rsid w:val="007C74A5"/>
    <w:rsid w:val="007C757D"/>
    <w:rsid w:val="007C7730"/>
    <w:rsid w:val="007C7CC0"/>
    <w:rsid w:val="007C7F9D"/>
    <w:rsid w:val="007D0029"/>
    <w:rsid w:val="007D013D"/>
    <w:rsid w:val="007D02D2"/>
    <w:rsid w:val="007D043F"/>
    <w:rsid w:val="007D11C6"/>
    <w:rsid w:val="007D1684"/>
    <w:rsid w:val="007D19EC"/>
    <w:rsid w:val="007D1FBD"/>
    <w:rsid w:val="007D2237"/>
    <w:rsid w:val="007D25CF"/>
    <w:rsid w:val="007D28D4"/>
    <w:rsid w:val="007D2EFE"/>
    <w:rsid w:val="007D372E"/>
    <w:rsid w:val="007D3A72"/>
    <w:rsid w:val="007D3BF4"/>
    <w:rsid w:val="007D3CF5"/>
    <w:rsid w:val="007D428B"/>
    <w:rsid w:val="007D4D9D"/>
    <w:rsid w:val="007D5146"/>
    <w:rsid w:val="007D549A"/>
    <w:rsid w:val="007D63C1"/>
    <w:rsid w:val="007D67CD"/>
    <w:rsid w:val="007D72DB"/>
    <w:rsid w:val="007D7BAA"/>
    <w:rsid w:val="007E0E91"/>
    <w:rsid w:val="007E106C"/>
    <w:rsid w:val="007E19DB"/>
    <w:rsid w:val="007E1F50"/>
    <w:rsid w:val="007E2528"/>
    <w:rsid w:val="007E2696"/>
    <w:rsid w:val="007E297E"/>
    <w:rsid w:val="007E2D2C"/>
    <w:rsid w:val="007E3BA3"/>
    <w:rsid w:val="007E3C47"/>
    <w:rsid w:val="007E3F2C"/>
    <w:rsid w:val="007E4C15"/>
    <w:rsid w:val="007E4F78"/>
    <w:rsid w:val="007E50C0"/>
    <w:rsid w:val="007E50D4"/>
    <w:rsid w:val="007E52F7"/>
    <w:rsid w:val="007E561D"/>
    <w:rsid w:val="007E5679"/>
    <w:rsid w:val="007E5E6E"/>
    <w:rsid w:val="007E5F30"/>
    <w:rsid w:val="007E67BD"/>
    <w:rsid w:val="007E7755"/>
    <w:rsid w:val="007F0013"/>
    <w:rsid w:val="007F09EC"/>
    <w:rsid w:val="007F122D"/>
    <w:rsid w:val="007F178E"/>
    <w:rsid w:val="007F19E6"/>
    <w:rsid w:val="007F1C00"/>
    <w:rsid w:val="007F1C01"/>
    <w:rsid w:val="007F26D8"/>
    <w:rsid w:val="007F2B2E"/>
    <w:rsid w:val="007F30E9"/>
    <w:rsid w:val="007F3A43"/>
    <w:rsid w:val="007F3BDF"/>
    <w:rsid w:val="007F3E53"/>
    <w:rsid w:val="007F43F6"/>
    <w:rsid w:val="007F49A4"/>
    <w:rsid w:val="007F5ABD"/>
    <w:rsid w:val="007F6198"/>
    <w:rsid w:val="007F63D8"/>
    <w:rsid w:val="007F7D4A"/>
    <w:rsid w:val="00800342"/>
    <w:rsid w:val="008005E7"/>
    <w:rsid w:val="008006B5"/>
    <w:rsid w:val="0080116C"/>
    <w:rsid w:val="008013E6"/>
    <w:rsid w:val="00801525"/>
    <w:rsid w:val="0080161E"/>
    <w:rsid w:val="008017AA"/>
    <w:rsid w:val="00801D6A"/>
    <w:rsid w:val="00801DFE"/>
    <w:rsid w:val="00802523"/>
    <w:rsid w:val="00802659"/>
    <w:rsid w:val="00802855"/>
    <w:rsid w:val="008029F1"/>
    <w:rsid w:val="00802B12"/>
    <w:rsid w:val="00802D3D"/>
    <w:rsid w:val="008035AF"/>
    <w:rsid w:val="0080428E"/>
    <w:rsid w:val="008042BF"/>
    <w:rsid w:val="008068EE"/>
    <w:rsid w:val="0080740A"/>
    <w:rsid w:val="008079EA"/>
    <w:rsid w:val="00807D44"/>
    <w:rsid w:val="00807E56"/>
    <w:rsid w:val="008102F8"/>
    <w:rsid w:val="00810CAA"/>
    <w:rsid w:val="00811085"/>
    <w:rsid w:val="00811161"/>
    <w:rsid w:val="00811710"/>
    <w:rsid w:val="008117BD"/>
    <w:rsid w:val="008122D9"/>
    <w:rsid w:val="0081363A"/>
    <w:rsid w:val="008139A1"/>
    <w:rsid w:val="00813EF6"/>
    <w:rsid w:val="00814249"/>
    <w:rsid w:val="00814312"/>
    <w:rsid w:val="008144C3"/>
    <w:rsid w:val="0081463A"/>
    <w:rsid w:val="00814CBD"/>
    <w:rsid w:val="00814D13"/>
    <w:rsid w:val="008153ED"/>
    <w:rsid w:val="00815B4B"/>
    <w:rsid w:val="00815BEF"/>
    <w:rsid w:val="008163FE"/>
    <w:rsid w:val="0081685E"/>
    <w:rsid w:val="008201B0"/>
    <w:rsid w:val="0082042E"/>
    <w:rsid w:val="00820659"/>
    <w:rsid w:val="00820F52"/>
    <w:rsid w:val="00821703"/>
    <w:rsid w:val="0082170A"/>
    <w:rsid w:val="00821A0A"/>
    <w:rsid w:val="008220BB"/>
    <w:rsid w:val="008222FB"/>
    <w:rsid w:val="00823F93"/>
    <w:rsid w:val="00823FCE"/>
    <w:rsid w:val="0082400E"/>
    <w:rsid w:val="00824320"/>
    <w:rsid w:val="0082432D"/>
    <w:rsid w:val="00825AE9"/>
    <w:rsid w:val="008268CD"/>
    <w:rsid w:val="00826987"/>
    <w:rsid w:val="00826A3D"/>
    <w:rsid w:val="00826B4C"/>
    <w:rsid w:val="0082792E"/>
    <w:rsid w:val="00827A97"/>
    <w:rsid w:val="00827C74"/>
    <w:rsid w:val="00827D9F"/>
    <w:rsid w:val="00830DDE"/>
    <w:rsid w:val="0083118C"/>
    <w:rsid w:val="0083176D"/>
    <w:rsid w:val="008318CF"/>
    <w:rsid w:val="00832547"/>
    <w:rsid w:val="008331A3"/>
    <w:rsid w:val="008339AC"/>
    <w:rsid w:val="00833D97"/>
    <w:rsid w:val="00835709"/>
    <w:rsid w:val="008357BF"/>
    <w:rsid w:val="00836179"/>
    <w:rsid w:val="0083656C"/>
    <w:rsid w:val="008369B8"/>
    <w:rsid w:val="00837394"/>
    <w:rsid w:val="0084036F"/>
    <w:rsid w:val="00840D15"/>
    <w:rsid w:val="00841B4D"/>
    <w:rsid w:val="00841FE0"/>
    <w:rsid w:val="00842A43"/>
    <w:rsid w:val="00842B4F"/>
    <w:rsid w:val="00842C07"/>
    <w:rsid w:val="00842C8B"/>
    <w:rsid w:val="00842DD0"/>
    <w:rsid w:val="00842ED4"/>
    <w:rsid w:val="0084380F"/>
    <w:rsid w:val="00843F44"/>
    <w:rsid w:val="0084407D"/>
    <w:rsid w:val="0084461C"/>
    <w:rsid w:val="008446EE"/>
    <w:rsid w:val="00844F10"/>
    <w:rsid w:val="00845017"/>
    <w:rsid w:val="008450B0"/>
    <w:rsid w:val="00845401"/>
    <w:rsid w:val="00845447"/>
    <w:rsid w:val="008457A4"/>
    <w:rsid w:val="00845F68"/>
    <w:rsid w:val="0084683F"/>
    <w:rsid w:val="00846C8E"/>
    <w:rsid w:val="0084709D"/>
    <w:rsid w:val="0084773B"/>
    <w:rsid w:val="00847E3E"/>
    <w:rsid w:val="008504DB"/>
    <w:rsid w:val="00850B74"/>
    <w:rsid w:val="00850D31"/>
    <w:rsid w:val="008512FD"/>
    <w:rsid w:val="00851E64"/>
    <w:rsid w:val="0085243E"/>
    <w:rsid w:val="0085261A"/>
    <w:rsid w:val="00852D67"/>
    <w:rsid w:val="008530B5"/>
    <w:rsid w:val="0085310C"/>
    <w:rsid w:val="008532E3"/>
    <w:rsid w:val="00853EE2"/>
    <w:rsid w:val="00854038"/>
    <w:rsid w:val="008545DA"/>
    <w:rsid w:val="00854C8E"/>
    <w:rsid w:val="008555E7"/>
    <w:rsid w:val="008556A6"/>
    <w:rsid w:val="00855747"/>
    <w:rsid w:val="00855ACD"/>
    <w:rsid w:val="00855E66"/>
    <w:rsid w:val="00855EBC"/>
    <w:rsid w:val="00855F62"/>
    <w:rsid w:val="00856533"/>
    <w:rsid w:val="00856FF4"/>
    <w:rsid w:val="008571BB"/>
    <w:rsid w:val="00857383"/>
    <w:rsid w:val="0085748D"/>
    <w:rsid w:val="0085792D"/>
    <w:rsid w:val="00857BB8"/>
    <w:rsid w:val="00857DD5"/>
    <w:rsid w:val="00860287"/>
    <w:rsid w:val="008606E8"/>
    <w:rsid w:val="0086076B"/>
    <w:rsid w:val="008614DC"/>
    <w:rsid w:val="00861709"/>
    <w:rsid w:val="00862489"/>
    <w:rsid w:val="00862777"/>
    <w:rsid w:val="008631D3"/>
    <w:rsid w:val="0086329A"/>
    <w:rsid w:val="008634BE"/>
    <w:rsid w:val="00864616"/>
    <w:rsid w:val="00864A13"/>
    <w:rsid w:val="00865193"/>
    <w:rsid w:val="00865793"/>
    <w:rsid w:val="00866EB3"/>
    <w:rsid w:val="00867712"/>
    <w:rsid w:val="008679C4"/>
    <w:rsid w:val="008679E3"/>
    <w:rsid w:val="0087008C"/>
    <w:rsid w:val="0087036D"/>
    <w:rsid w:val="00870B47"/>
    <w:rsid w:val="00870CFE"/>
    <w:rsid w:val="00870F9E"/>
    <w:rsid w:val="00871002"/>
    <w:rsid w:val="00871EA6"/>
    <w:rsid w:val="00872370"/>
    <w:rsid w:val="00872604"/>
    <w:rsid w:val="00872976"/>
    <w:rsid w:val="00873A3F"/>
    <w:rsid w:val="00873CDC"/>
    <w:rsid w:val="008740C5"/>
    <w:rsid w:val="00874258"/>
    <w:rsid w:val="00874416"/>
    <w:rsid w:val="008757E2"/>
    <w:rsid w:val="008760BF"/>
    <w:rsid w:val="008765EA"/>
    <w:rsid w:val="008766A4"/>
    <w:rsid w:val="00876BE9"/>
    <w:rsid w:val="00876D5B"/>
    <w:rsid w:val="00877B39"/>
    <w:rsid w:val="00880A77"/>
    <w:rsid w:val="00880CE0"/>
    <w:rsid w:val="00881274"/>
    <w:rsid w:val="00881510"/>
    <w:rsid w:val="00881A3F"/>
    <w:rsid w:val="008821BA"/>
    <w:rsid w:val="00882661"/>
    <w:rsid w:val="00882679"/>
    <w:rsid w:val="00883109"/>
    <w:rsid w:val="00883247"/>
    <w:rsid w:val="00883BA4"/>
    <w:rsid w:val="00884291"/>
    <w:rsid w:val="00884BC1"/>
    <w:rsid w:val="008850ED"/>
    <w:rsid w:val="0088510B"/>
    <w:rsid w:val="008852FC"/>
    <w:rsid w:val="008854D0"/>
    <w:rsid w:val="0088558D"/>
    <w:rsid w:val="00885F2E"/>
    <w:rsid w:val="00885F32"/>
    <w:rsid w:val="008864A7"/>
    <w:rsid w:val="00886A96"/>
    <w:rsid w:val="00886AEA"/>
    <w:rsid w:val="00886CE2"/>
    <w:rsid w:val="00887EC1"/>
    <w:rsid w:val="00887F7D"/>
    <w:rsid w:val="008906BC"/>
    <w:rsid w:val="0089090A"/>
    <w:rsid w:val="008911A0"/>
    <w:rsid w:val="0089148D"/>
    <w:rsid w:val="00891934"/>
    <w:rsid w:val="0089242E"/>
    <w:rsid w:val="008925D5"/>
    <w:rsid w:val="008925F7"/>
    <w:rsid w:val="0089269D"/>
    <w:rsid w:val="00892D17"/>
    <w:rsid w:val="00893164"/>
    <w:rsid w:val="008932E6"/>
    <w:rsid w:val="00894412"/>
    <w:rsid w:val="00894EE3"/>
    <w:rsid w:val="00894FDE"/>
    <w:rsid w:val="008950C0"/>
    <w:rsid w:val="0089537A"/>
    <w:rsid w:val="008957AA"/>
    <w:rsid w:val="00895BBB"/>
    <w:rsid w:val="00895E0C"/>
    <w:rsid w:val="00895F8E"/>
    <w:rsid w:val="00896738"/>
    <w:rsid w:val="00896AAC"/>
    <w:rsid w:val="00896AB0"/>
    <w:rsid w:val="00896F0D"/>
    <w:rsid w:val="00897133"/>
    <w:rsid w:val="008974AA"/>
    <w:rsid w:val="008978B1"/>
    <w:rsid w:val="00897A8C"/>
    <w:rsid w:val="008A0369"/>
    <w:rsid w:val="008A118C"/>
    <w:rsid w:val="008A2212"/>
    <w:rsid w:val="008A2324"/>
    <w:rsid w:val="008A2840"/>
    <w:rsid w:val="008A2DB0"/>
    <w:rsid w:val="008A31C2"/>
    <w:rsid w:val="008A3AB4"/>
    <w:rsid w:val="008A57E7"/>
    <w:rsid w:val="008B1044"/>
    <w:rsid w:val="008B1600"/>
    <w:rsid w:val="008B16FB"/>
    <w:rsid w:val="008B1CC2"/>
    <w:rsid w:val="008B2415"/>
    <w:rsid w:val="008B2421"/>
    <w:rsid w:val="008B3AA0"/>
    <w:rsid w:val="008B3BDD"/>
    <w:rsid w:val="008B3CC8"/>
    <w:rsid w:val="008B4A7F"/>
    <w:rsid w:val="008B4F72"/>
    <w:rsid w:val="008B5935"/>
    <w:rsid w:val="008B5BD4"/>
    <w:rsid w:val="008B5EBF"/>
    <w:rsid w:val="008B5EE9"/>
    <w:rsid w:val="008B680C"/>
    <w:rsid w:val="008B6AFA"/>
    <w:rsid w:val="008B6E52"/>
    <w:rsid w:val="008B6FBF"/>
    <w:rsid w:val="008B75BC"/>
    <w:rsid w:val="008C0068"/>
    <w:rsid w:val="008C0293"/>
    <w:rsid w:val="008C02A5"/>
    <w:rsid w:val="008C02CF"/>
    <w:rsid w:val="008C0959"/>
    <w:rsid w:val="008C10E6"/>
    <w:rsid w:val="008C1408"/>
    <w:rsid w:val="008C142A"/>
    <w:rsid w:val="008C2116"/>
    <w:rsid w:val="008C21D3"/>
    <w:rsid w:val="008C2477"/>
    <w:rsid w:val="008C2A23"/>
    <w:rsid w:val="008C2CC8"/>
    <w:rsid w:val="008C394C"/>
    <w:rsid w:val="008C3D30"/>
    <w:rsid w:val="008C3E02"/>
    <w:rsid w:val="008C5014"/>
    <w:rsid w:val="008C5746"/>
    <w:rsid w:val="008C5CD0"/>
    <w:rsid w:val="008C5FF3"/>
    <w:rsid w:val="008C645B"/>
    <w:rsid w:val="008C665A"/>
    <w:rsid w:val="008C6B98"/>
    <w:rsid w:val="008C6EF4"/>
    <w:rsid w:val="008C7150"/>
    <w:rsid w:val="008C7980"/>
    <w:rsid w:val="008C7B50"/>
    <w:rsid w:val="008C7CD1"/>
    <w:rsid w:val="008C7EAF"/>
    <w:rsid w:val="008D013F"/>
    <w:rsid w:val="008D06D8"/>
    <w:rsid w:val="008D0CBB"/>
    <w:rsid w:val="008D1E86"/>
    <w:rsid w:val="008D27AC"/>
    <w:rsid w:val="008D3058"/>
    <w:rsid w:val="008D3599"/>
    <w:rsid w:val="008D35C0"/>
    <w:rsid w:val="008D3B26"/>
    <w:rsid w:val="008D40BE"/>
    <w:rsid w:val="008D48F6"/>
    <w:rsid w:val="008D4C1B"/>
    <w:rsid w:val="008D4EB2"/>
    <w:rsid w:val="008D5981"/>
    <w:rsid w:val="008D617D"/>
    <w:rsid w:val="008D6426"/>
    <w:rsid w:val="008D6C3A"/>
    <w:rsid w:val="008D6F71"/>
    <w:rsid w:val="008D7960"/>
    <w:rsid w:val="008E0C23"/>
    <w:rsid w:val="008E11E2"/>
    <w:rsid w:val="008E1222"/>
    <w:rsid w:val="008E12C1"/>
    <w:rsid w:val="008E2CB8"/>
    <w:rsid w:val="008E30B9"/>
    <w:rsid w:val="008E38CB"/>
    <w:rsid w:val="008E439A"/>
    <w:rsid w:val="008E46BC"/>
    <w:rsid w:val="008E4743"/>
    <w:rsid w:val="008E56CE"/>
    <w:rsid w:val="008E58E2"/>
    <w:rsid w:val="008E6211"/>
    <w:rsid w:val="008E6B43"/>
    <w:rsid w:val="008E716C"/>
    <w:rsid w:val="008E753C"/>
    <w:rsid w:val="008E78FD"/>
    <w:rsid w:val="008E7B7E"/>
    <w:rsid w:val="008E7DC3"/>
    <w:rsid w:val="008E7EC8"/>
    <w:rsid w:val="008F1144"/>
    <w:rsid w:val="008F140D"/>
    <w:rsid w:val="008F18C9"/>
    <w:rsid w:val="008F239B"/>
    <w:rsid w:val="008F266C"/>
    <w:rsid w:val="008F2A63"/>
    <w:rsid w:val="008F327F"/>
    <w:rsid w:val="008F378A"/>
    <w:rsid w:val="008F3C95"/>
    <w:rsid w:val="008F4224"/>
    <w:rsid w:val="008F506D"/>
    <w:rsid w:val="008F50C6"/>
    <w:rsid w:val="008F5558"/>
    <w:rsid w:val="008F573F"/>
    <w:rsid w:val="008F5A32"/>
    <w:rsid w:val="008F5BB1"/>
    <w:rsid w:val="008F5E96"/>
    <w:rsid w:val="008F67C9"/>
    <w:rsid w:val="008F69A1"/>
    <w:rsid w:val="008F6F1D"/>
    <w:rsid w:val="008F702E"/>
    <w:rsid w:val="008F7186"/>
    <w:rsid w:val="008F7330"/>
    <w:rsid w:val="008F7BD1"/>
    <w:rsid w:val="009000F5"/>
    <w:rsid w:val="0090055B"/>
    <w:rsid w:val="0090086E"/>
    <w:rsid w:val="00901268"/>
    <w:rsid w:val="009014F4"/>
    <w:rsid w:val="00902237"/>
    <w:rsid w:val="00902B37"/>
    <w:rsid w:val="00902D1D"/>
    <w:rsid w:val="00903123"/>
    <w:rsid w:val="009037C6"/>
    <w:rsid w:val="0090394B"/>
    <w:rsid w:val="00903DCB"/>
    <w:rsid w:val="0090405D"/>
    <w:rsid w:val="00904892"/>
    <w:rsid w:val="00904E7F"/>
    <w:rsid w:val="00904FA9"/>
    <w:rsid w:val="009050EC"/>
    <w:rsid w:val="00906474"/>
    <w:rsid w:val="009065E9"/>
    <w:rsid w:val="00906D9A"/>
    <w:rsid w:val="00906DE4"/>
    <w:rsid w:val="00907202"/>
    <w:rsid w:val="00907B6A"/>
    <w:rsid w:val="00910766"/>
    <w:rsid w:val="00910DBC"/>
    <w:rsid w:val="00910E63"/>
    <w:rsid w:val="00910FC0"/>
    <w:rsid w:val="00911818"/>
    <w:rsid w:val="00913933"/>
    <w:rsid w:val="00913B05"/>
    <w:rsid w:val="0091472C"/>
    <w:rsid w:val="00914870"/>
    <w:rsid w:val="00915570"/>
    <w:rsid w:val="0091578E"/>
    <w:rsid w:val="00915A67"/>
    <w:rsid w:val="00915AA0"/>
    <w:rsid w:val="00915BD4"/>
    <w:rsid w:val="00915F11"/>
    <w:rsid w:val="0091640E"/>
    <w:rsid w:val="00916E51"/>
    <w:rsid w:val="00916ED5"/>
    <w:rsid w:val="0091776E"/>
    <w:rsid w:val="0091781A"/>
    <w:rsid w:val="00917A74"/>
    <w:rsid w:val="00917A8D"/>
    <w:rsid w:val="00920054"/>
    <w:rsid w:val="00920E26"/>
    <w:rsid w:val="009212E3"/>
    <w:rsid w:val="0092196F"/>
    <w:rsid w:val="0092201E"/>
    <w:rsid w:val="00923746"/>
    <w:rsid w:val="009237D1"/>
    <w:rsid w:val="00923A99"/>
    <w:rsid w:val="00923DBA"/>
    <w:rsid w:val="00924641"/>
    <w:rsid w:val="00924A30"/>
    <w:rsid w:val="009250D2"/>
    <w:rsid w:val="0092554C"/>
    <w:rsid w:val="0092577C"/>
    <w:rsid w:val="009258C4"/>
    <w:rsid w:val="00925B4A"/>
    <w:rsid w:val="00925EC4"/>
    <w:rsid w:val="00926DB3"/>
    <w:rsid w:val="00927044"/>
    <w:rsid w:val="009273C9"/>
    <w:rsid w:val="009302ED"/>
    <w:rsid w:val="00930D18"/>
    <w:rsid w:val="009314E6"/>
    <w:rsid w:val="009318B4"/>
    <w:rsid w:val="00931E19"/>
    <w:rsid w:val="00931E3C"/>
    <w:rsid w:val="00932985"/>
    <w:rsid w:val="00932DEA"/>
    <w:rsid w:val="00932DFD"/>
    <w:rsid w:val="00932EE8"/>
    <w:rsid w:val="0093300A"/>
    <w:rsid w:val="009333E3"/>
    <w:rsid w:val="00933A1A"/>
    <w:rsid w:val="00933E4B"/>
    <w:rsid w:val="009341C3"/>
    <w:rsid w:val="00934406"/>
    <w:rsid w:val="00934576"/>
    <w:rsid w:val="00934B0C"/>
    <w:rsid w:val="00934E04"/>
    <w:rsid w:val="00935EFE"/>
    <w:rsid w:val="00936425"/>
    <w:rsid w:val="00936CA2"/>
    <w:rsid w:val="00936F3A"/>
    <w:rsid w:val="00936F41"/>
    <w:rsid w:val="009374AE"/>
    <w:rsid w:val="009377DD"/>
    <w:rsid w:val="00937CDE"/>
    <w:rsid w:val="00937E80"/>
    <w:rsid w:val="00940E88"/>
    <w:rsid w:val="00940F27"/>
    <w:rsid w:val="00940F35"/>
    <w:rsid w:val="00941385"/>
    <w:rsid w:val="009419F4"/>
    <w:rsid w:val="009422AF"/>
    <w:rsid w:val="009424DD"/>
    <w:rsid w:val="00942E58"/>
    <w:rsid w:val="00943316"/>
    <w:rsid w:val="0094398C"/>
    <w:rsid w:val="00943C57"/>
    <w:rsid w:val="009440A4"/>
    <w:rsid w:val="009455C6"/>
    <w:rsid w:val="0094590F"/>
    <w:rsid w:val="00945C76"/>
    <w:rsid w:val="00945D65"/>
    <w:rsid w:val="0094653B"/>
    <w:rsid w:val="00946D66"/>
    <w:rsid w:val="009479AF"/>
    <w:rsid w:val="009479DD"/>
    <w:rsid w:val="00947F49"/>
    <w:rsid w:val="009503BE"/>
    <w:rsid w:val="00950DD7"/>
    <w:rsid w:val="00951242"/>
    <w:rsid w:val="00951558"/>
    <w:rsid w:val="009515BE"/>
    <w:rsid w:val="00951B53"/>
    <w:rsid w:val="0095234B"/>
    <w:rsid w:val="009523E8"/>
    <w:rsid w:val="00952805"/>
    <w:rsid w:val="009531C5"/>
    <w:rsid w:val="00953640"/>
    <w:rsid w:val="009538B7"/>
    <w:rsid w:val="00953EEF"/>
    <w:rsid w:val="00953F7D"/>
    <w:rsid w:val="009549BC"/>
    <w:rsid w:val="0095510B"/>
    <w:rsid w:val="00955849"/>
    <w:rsid w:val="00956647"/>
    <w:rsid w:val="00957245"/>
    <w:rsid w:val="00957532"/>
    <w:rsid w:val="00957896"/>
    <w:rsid w:val="009578FA"/>
    <w:rsid w:val="00957D44"/>
    <w:rsid w:val="00960515"/>
    <w:rsid w:val="00960684"/>
    <w:rsid w:val="0096085F"/>
    <w:rsid w:val="00961AA4"/>
    <w:rsid w:val="0096289E"/>
    <w:rsid w:val="0096291F"/>
    <w:rsid w:val="00963A8B"/>
    <w:rsid w:val="00963EE5"/>
    <w:rsid w:val="0096498F"/>
    <w:rsid w:val="009655D2"/>
    <w:rsid w:val="009659C5"/>
    <w:rsid w:val="009659E7"/>
    <w:rsid w:val="009666A1"/>
    <w:rsid w:val="00966ADD"/>
    <w:rsid w:val="00966B8F"/>
    <w:rsid w:val="009677BE"/>
    <w:rsid w:val="00967BFF"/>
    <w:rsid w:val="00967C5D"/>
    <w:rsid w:val="0097007A"/>
    <w:rsid w:val="009701C3"/>
    <w:rsid w:val="009704D2"/>
    <w:rsid w:val="009714C5"/>
    <w:rsid w:val="0097150E"/>
    <w:rsid w:val="0097152A"/>
    <w:rsid w:val="009721A3"/>
    <w:rsid w:val="00972A62"/>
    <w:rsid w:val="00972E54"/>
    <w:rsid w:val="00972FB7"/>
    <w:rsid w:val="009736A6"/>
    <w:rsid w:val="009736D6"/>
    <w:rsid w:val="0097370E"/>
    <w:rsid w:val="00973B89"/>
    <w:rsid w:val="00974C7F"/>
    <w:rsid w:val="00975231"/>
    <w:rsid w:val="00975915"/>
    <w:rsid w:val="0097648B"/>
    <w:rsid w:val="0097656C"/>
    <w:rsid w:val="00980669"/>
    <w:rsid w:val="0098069C"/>
    <w:rsid w:val="009807A8"/>
    <w:rsid w:val="009807B8"/>
    <w:rsid w:val="009808C2"/>
    <w:rsid w:val="00980D5A"/>
    <w:rsid w:val="0098174C"/>
    <w:rsid w:val="00982C34"/>
    <w:rsid w:val="0098315F"/>
    <w:rsid w:val="00983344"/>
    <w:rsid w:val="00983665"/>
    <w:rsid w:val="00983CEE"/>
    <w:rsid w:val="00983E50"/>
    <w:rsid w:val="009841E4"/>
    <w:rsid w:val="009851D1"/>
    <w:rsid w:val="00986130"/>
    <w:rsid w:val="00986B7A"/>
    <w:rsid w:val="00986E3D"/>
    <w:rsid w:val="0098738E"/>
    <w:rsid w:val="00990BAA"/>
    <w:rsid w:val="009915B2"/>
    <w:rsid w:val="009918E8"/>
    <w:rsid w:val="00991A60"/>
    <w:rsid w:val="009929B0"/>
    <w:rsid w:val="00992A92"/>
    <w:rsid w:val="00992EA8"/>
    <w:rsid w:val="0099301E"/>
    <w:rsid w:val="00993253"/>
    <w:rsid w:val="009939FD"/>
    <w:rsid w:val="00993EC5"/>
    <w:rsid w:val="00994648"/>
    <w:rsid w:val="009948FB"/>
    <w:rsid w:val="00994F2E"/>
    <w:rsid w:val="00995432"/>
    <w:rsid w:val="009958BE"/>
    <w:rsid w:val="00995B80"/>
    <w:rsid w:val="009968A5"/>
    <w:rsid w:val="0099768F"/>
    <w:rsid w:val="009976CD"/>
    <w:rsid w:val="009978AB"/>
    <w:rsid w:val="00997B84"/>
    <w:rsid w:val="00997DC5"/>
    <w:rsid w:val="009A0349"/>
    <w:rsid w:val="009A0513"/>
    <w:rsid w:val="009A0917"/>
    <w:rsid w:val="009A1683"/>
    <w:rsid w:val="009A19CF"/>
    <w:rsid w:val="009A1B53"/>
    <w:rsid w:val="009A3529"/>
    <w:rsid w:val="009A39A6"/>
    <w:rsid w:val="009A3B08"/>
    <w:rsid w:val="009A3E10"/>
    <w:rsid w:val="009A4102"/>
    <w:rsid w:val="009A41F5"/>
    <w:rsid w:val="009A45A6"/>
    <w:rsid w:val="009A495F"/>
    <w:rsid w:val="009A582F"/>
    <w:rsid w:val="009A5DA1"/>
    <w:rsid w:val="009A61E8"/>
    <w:rsid w:val="009A6211"/>
    <w:rsid w:val="009A6897"/>
    <w:rsid w:val="009A6C3E"/>
    <w:rsid w:val="009A7404"/>
    <w:rsid w:val="009A7AAF"/>
    <w:rsid w:val="009B0D34"/>
    <w:rsid w:val="009B115C"/>
    <w:rsid w:val="009B14C7"/>
    <w:rsid w:val="009B2327"/>
    <w:rsid w:val="009B2746"/>
    <w:rsid w:val="009B2938"/>
    <w:rsid w:val="009B3011"/>
    <w:rsid w:val="009B350B"/>
    <w:rsid w:val="009B36D9"/>
    <w:rsid w:val="009B4493"/>
    <w:rsid w:val="009B4549"/>
    <w:rsid w:val="009B49D8"/>
    <w:rsid w:val="009B50F2"/>
    <w:rsid w:val="009B5E92"/>
    <w:rsid w:val="009B63AD"/>
    <w:rsid w:val="009B6838"/>
    <w:rsid w:val="009B6B4E"/>
    <w:rsid w:val="009B6E96"/>
    <w:rsid w:val="009B6F3D"/>
    <w:rsid w:val="009B7034"/>
    <w:rsid w:val="009B7147"/>
    <w:rsid w:val="009B7757"/>
    <w:rsid w:val="009B7FFB"/>
    <w:rsid w:val="009C041F"/>
    <w:rsid w:val="009C099C"/>
    <w:rsid w:val="009C0D80"/>
    <w:rsid w:val="009C0E79"/>
    <w:rsid w:val="009C1975"/>
    <w:rsid w:val="009C1B70"/>
    <w:rsid w:val="009C1B86"/>
    <w:rsid w:val="009C24ED"/>
    <w:rsid w:val="009C2553"/>
    <w:rsid w:val="009C38D7"/>
    <w:rsid w:val="009C4880"/>
    <w:rsid w:val="009C535F"/>
    <w:rsid w:val="009C5757"/>
    <w:rsid w:val="009C583C"/>
    <w:rsid w:val="009C64C4"/>
    <w:rsid w:val="009C745F"/>
    <w:rsid w:val="009C77DD"/>
    <w:rsid w:val="009C7BC1"/>
    <w:rsid w:val="009D0306"/>
    <w:rsid w:val="009D1193"/>
    <w:rsid w:val="009D1F04"/>
    <w:rsid w:val="009D2046"/>
    <w:rsid w:val="009D34B0"/>
    <w:rsid w:val="009D407F"/>
    <w:rsid w:val="009D4CF8"/>
    <w:rsid w:val="009D55B3"/>
    <w:rsid w:val="009D5660"/>
    <w:rsid w:val="009D569F"/>
    <w:rsid w:val="009D5AB8"/>
    <w:rsid w:val="009D5B0E"/>
    <w:rsid w:val="009D6231"/>
    <w:rsid w:val="009D6524"/>
    <w:rsid w:val="009D67CF"/>
    <w:rsid w:val="009D6DAB"/>
    <w:rsid w:val="009D730F"/>
    <w:rsid w:val="009D7CDA"/>
    <w:rsid w:val="009E0266"/>
    <w:rsid w:val="009E0E33"/>
    <w:rsid w:val="009E1517"/>
    <w:rsid w:val="009E15EF"/>
    <w:rsid w:val="009E161A"/>
    <w:rsid w:val="009E22B1"/>
    <w:rsid w:val="009E23C5"/>
    <w:rsid w:val="009E249F"/>
    <w:rsid w:val="009E3022"/>
    <w:rsid w:val="009E3282"/>
    <w:rsid w:val="009E39A7"/>
    <w:rsid w:val="009E4AA8"/>
    <w:rsid w:val="009E5609"/>
    <w:rsid w:val="009E5802"/>
    <w:rsid w:val="009E58BD"/>
    <w:rsid w:val="009E5DD5"/>
    <w:rsid w:val="009E5DE3"/>
    <w:rsid w:val="009E5EB7"/>
    <w:rsid w:val="009E6219"/>
    <w:rsid w:val="009E6669"/>
    <w:rsid w:val="009E6BB3"/>
    <w:rsid w:val="009E6CA1"/>
    <w:rsid w:val="009E7150"/>
    <w:rsid w:val="009E71FF"/>
    <w:rsid w:val="009E7481"/>
    <w:rsid w:val="009E76FB"/>
    <w:rsid w:val="009F0C6C"/>
    <w:rsid w:val="009F11C3"/>
    <w:rsid w:val="009F137E"/>
    <w:rsid w:val="009F141C"/>
    <w:rsid w:val="009F1AC0"/>
    <w:rsid w:val="009F22B5"/>
    <w:rsid w:val="009F2A40"/>
    <w:rsid w:val="009F398D"/>
    <w:rsid w:val="009F455B"/>
    <w:rsid w:val="009F490C"/>
    <w:rsid w:val="009F4F4F"/>
    <w:rsid w:val="009F5038"/>
    <w:rsid w:val="009F5795"/>
    <w:rsid w:val="009F5F7B"/>
    <w:rsid w:val="009F64B1"/>
    <w:rsid w:val="009F6AF2"/>
    <w:rsid w:val="009F6FBC"/>
    <w:rsid w:val="009F734D"/>
    <w:rsid w:val="009F79D1"/>
    <w:rsid w:val="009F7BDE"/>
    <w:rsid w:val="00A00757"/>
    <w:rsid w:val="00A0097E"/>
    <w:rsid w:val="00A00D4F"/>
    <w:rsid w:val="00A0146C"/>
    <w:rsid w:val="00A0151F"/>
    <w:rsid w:val="00A01997"/>
    <w:rsid w:val="00A0213C"/>
    <w:rsid w:val="00A0219B"/>
    <w:rsid w:val="00A029B2"/>
    <w:rsid w:val="00A02B72"/>
    <w:rsid w:val="00A02D08"/>
    <w:rsid w:val="00A03346"/>
    <w:rsid w:val="00A03820"/>
    <w:rsid w:val="00A03E82"/>
    <w:rsid w:val="00A04075"/>
    <w:rsid w:val="00A044AD"/>
    <w:rsid w:val="00A046F4"/>
    <w:rsid w:val="00A049DE"/>
    <w:rsid w:val="00A049E1"/>
    <w:rsid w:val="00A05042"/>
    <w:rsid w:val="00A059A0"/>
    <w:rsid w:val="00A05A5B"/>
    <w:rsid w:val="00A065F0"/>
    <w:rsid w:val="00A06AE0"/>
    <w:rsid w:val="00A06CE9"/>
    <w:rsid w:val="00A06FAF"/>
    <w:rsid w:val="00A0780B"/>
    <w:rsid w:val="00A07812"/>
    <w:rsid w:val="00A1067F"/>
    <w:rsid w:val="00A106B8"/>
    <w:rsid w:val="00A10A82"/>
    <w:rsid w:val="00A10EB3"/>
    <w:rsid w:val="00A1193E"/>
    <w:rsid w:val="00A11AF1"/>
    <w:rsid w:val="00A11D53"/>
    <w:rsid w:val="00A1228D"/>
    <w:rsid w:val="00A12750"/>
    <w:rsid w:val="00A1282A"/>
    <w:rsid w:val="00A129FB"/>
    <w:rsid w:val="00A12B44"/>
    <w:rsid w:val="00A1419B"/>
    <w:rsid w:val="00A1452B"/>
    <w:rsid w:val="00A14637"/>
    <w:rsid w:val="00A15295"/>
    <w:rsid w:val="00A159DC"/>
    <w:rsid w:val="00A15C60"/>
    <w:rsid w:val="00A161E0"/>
    <w:rsid w:val="00A165F9"/>
    <w:rsid w:val="00A17840"/>
    <w:rsid w:val="00A179DD"/>
    <w:rsid w:val="00A17D4A"/>
    <w:rsid w:val="00A2048F"/>
    <w:rsid w:val="00A20B9F"/>
    <w:rsid w:val="00A20FEC"/>
    <w:rsid w:val="00A211CF"/>
    <w:rsid w:val="00A21369"/>
    <w:rsid w:val="00A21605"/>
    <w:rsid w:val="00A21667"/>
    <w:rsid w:val="00A2190A"/>
    <w:rsid w:val="00A21965"/>
    <w:rsid w:val="00A2253C"/>
    <w:rsid w:val="00A22ABA"/>
    <w:rsid w:val="00A22F74"/>
    <w:rsid w:val="00A2302D"/>
    <w:rsid w:val="00A2306E"/>
    <w:rsid w:val="00A23901"/>
    <w:rsid w:val="00A23ADC"/>
    <w:rsid w:val="00A254A3"/>
    <w:rsid w:val="00A2684F"/>
    <w:rsid w:val="00A26890"/>
    <w:rsid w:val="00A26F38"/>
    <w:rsid w:val="00A27270"/>
    <w:rsid w:val="00A27347"/>
    <w:rsid w:val="00A27668"/>
    <w:rsid w:val="00A279C7"/>
    <w:rsid w:val="00A27F26"/>
    <w:rsid w:val="00A30E44"/>
    <w:rsid w:val="00A32DBE"/>
    <w:rsid w:val="00A34663"/>
    <w:rsid w:val="00A3469C"/>
    <w:rsid w:val="00A3498B"/>
    <w:rsid w:val="00A349D6"/>
    <w:rsid w:val="00A35B32"/>
    <w:rsid w:val="00A36079"/>
    <w:rsid w:val="00A361FC"/>
    <w:rsid w:val="00A3666C"/>
    <w:rsid w:val="00A3685A"/>
    <w:rsid w:val="00A369D4"/>
    <w:rsid w:val="00A36D3D"/>
    <w:rsid w:val="00A37094"/>
    <w:rsid w:val="00A400D1"/>
    <w:rsid w:val="00A401D6"/>
    <w:rsid w:val="00A406A7"/>
    <w:rsid w:val="00A41473"/>
    <w:rsid w:val="00A42F39"/>
    <w:rsid w:val="00A4327E"/>
    <w:rsid w:val="00A43DDF"/>
    <w:rsid w:val="00A4422B"/>
    <w:rsid w:val="00A445EE"/>
    <w:rsid w:val="00A4460E"/>
    <w:rsid w:val="00A4471D"/>
    <w:rsid w:val="00A44EEC"/>
    <w:rsid w:val="00A45022"/>
    <w:rsid w:val="00A456FE"/>
    <w:rsid w:val="00A45EE2"/>
    <w:rsid w:val="00A45F98"/>
    <w:rsid w:val="00A46243"/>
    <w:rsid w:val="00A46814"/>
    <w:rsid w:val="00A46978"/>
    <w:rsid w:val="00A46F59"/>
    <w:rsid w:val="00A4766D"/>
    <w:rsid w:val="00A47F16"/>
    <w:rsid w:val="00A501D9"/>
    <w:rsid w:val="00A507E6"/>
    <w:rsid w:val="00A50C28"/>
    <w:rsid w:val="00A50D1C"/>
    <w:rsid w:val="00A50DD3"/>
    <w:rsid w:val="00A50F34"/>
    <w:rsid w:val="00A5120A"/>
    <w:rsid w:val="00A51C7E"/>
    <w:rsid w:val="00A52046"/>
    <w:rsid w:val="00A52261"/>
    <w:rsid w:val="00A525B1"/>
    <w:rsid w:val="00A526CB"/>
    <w:rsid w:val="00A527A3"/>
    <w:rsid w:val="00A52CEA"/>
    <w:rsid w:val="00A52E48"/>
    <w:rsid w:val="00A53545"/>
    <w:rsid w:val="00A53AA0"/>
    <w:rsid w:val="00A53B65"/>
    <w:rsid w:val="00A53C76"/>
    <w:rsid w:val="00A53E23"/>
    <w:rsid w:val="00A54777"/>
    <w:rsid w:val="00A54CED"/>
    <w:rsid w:val="00A54DFF"/>
    <w:rsid w:val="00A55664"/>
    <w:rsid w:val="00A55AAF"/>
    <w:rsid w:val="00A5601F"/>
    <w:rsid w:val="00A56311"/>
    <w:rsid w:val="00A564DF"/>
    <w:rsid w:val="00A579FA"/>
    <w:rsid w:val="00A57A11"/>
    <w:rsid w:val="00A60261"/>
    <w:rsid w:val="00A60300"/>
    <w:rsid w:val="00A60324"/>
    <w:rsid w:val="00A608EE"/>
    <w:rsid w:val="00A60AB6"/>
    <w:rsid w:val="00A610FB"/>
    <w:rsid w:val="00A61ABF"/>
    <w:rsid w:val="00A62239"/>
    <w:rsid w:val="00A62555"/>
    <w:rsid w:val="00A62AB5"/>
    <w:rsid w:val="00A62DDE"/>
    <w:rsid w:val="00A63B92"/>
    <w:rsid w:val="00A63BFD"/>
    <w:rsid w:val="00A64703"/>
    <w:rsid w:val="00A65157"/>
    <w:rsid w:val="00A65192"/>
    <w:rsid w:val="00A664E4"/>
    <w:rsid w:val="00A6694C"/>
    <w:rsid w:val="00A671E2"/>
    <w:rsid w:val="00A672B1"/>
    <w:rsid w:val="00A675B5"/>
    <w:rsid w:val="00A70B25"/>
    <w:rsid w:val="00A70FAC"/>
    <w:rsid w:val="00A7108D"/>
    <w:rsid w:val="00A713BF"/>
    <w:rsid w:val="00A715F4"/>
    <w:rsid w:val="00A71AF6"/>
    <w:rsid w:val="00A71B87"/>
    <w:rsid w:val="00A727A3"/>
    <w:rsid w:val="00A727BB"/>
    <w:rsid w:val="00A727D6"/>
    <w:rsid w:val="00A7311C"/>
    <w:rsid w:val="00A731B6"/>
    <w:rsid w:val="00A735D7"/>
    <w:rsid w:val="00A73952"/>
    <w:rsid w:val="00A73DB2"/>
    <w:rsid w:val="00A73FDE"/>
    <w:rsid w:val="00A74090"/>
    <w:rsid w:val="00A74B59"/>
    <w:rsid w:val="00A74FDD"/>
    <w:rsid w:val="00A74FDF"/>
    <w:rsid w:val="00A75ADD"/>
    <w:rsid w:val="00A764FD"/>
    <w:rsid w:val="00A76530"/>
    <w:rsid w:val="00A76B49"/>
    <w:rsid w:val="00A76C84"/>
    <w:rsid w:val="00A77777"/>
    <w:rsid w:val="00A80A91"/>
    <w:rsid w:val="00A80DBC"/>
    <w:rsid w:val="00A8204C"/>
    <w:rsid w:val="00A82D85"/>
    <w:rsid w:val="00A8316B"/>
    <w:rsid w:val="00A83237"/>
    <w:rsid w:val="00A832D2"/>
    <w:rsid w:val="00A83DA4"/>
    <w:rsid w:val="00A84CFD"/>
    <w:rsid w:val="00A8666A"/>
    <w:rsid w:val="00A873E6"/>
    <w:rsid w:val="00A87FF5"/>
    <w:rsid w:val="00A903AF"/>
    <w:rsid w:val="00A90676"/>
    <w:rsid w:val="00A909F9"/>
    <w:rsid w:val="00A9234E"/>
    <w:rsid w:val="00A92B1D"/>
    <w:rsid w:val="00A93068"/>
    <w:rsid w:val="00A93DD0"/>
    <w:rsid w:val="00A9539B"/>
    <w:rsid w:val="00A95540"/>
    <w:rsid w:val="00A955D4"/>
    <w:rsid w:val="00A95608"/>
    <w:rsid w:val="00A95A23"/>
    <w:rsid w:val="00A95A62"/>
    <w:rsid w:val="00A95B9C"/>
    <w:rsid w:val="00A95E97"/>
    <w:rsid w:val="00A96397"/>
    <w:rsid w:val="00A9645A"/>
    <w:rsid w:val="00A96584"/>
    <w:rsid w:val="00A9688A"/>
    <w:rsid w:val="00A97BE2"/>
    <w:rsid w:val="00A97CAC"/>
    <w:rsid w:val="00A97CCD"/>
    <w:rsid w:val="00AA0136"/>
    <w:rsid w:val="00AA07D8"/>
    <w:rsid w:val="00AA0A69"/>
    <w:rsid w:val="00AA0C64"/>
    <w:rsid w:val="00AA0F67"/>
    <w:rsid w:val="00AA1A1C"/>
    <w:rsid w:val="00AA203E"/>
    <w:rsid w:val="00AA2D36"/>
    <w:rsid w:val="00AA2F1F"/>
    <w:rsid w:val="00AA367F"/>
    <w:rsid w:val="00AA3BE3"/>
    <w:rsid w:val="00AA3C21"/>
    <w:rsid w:val="00AA4965"/>
    <w:rsid w:val="00AA5A2E"/>
    <w:rsid w:val="00AA5CF5"/>
    <w:rsid w:val="00AA5E4F"/>
    <w:rsid w:val="00AA608B"/>
    <w:rsid w:val="00AA664E"/>
    <w:rsid w:val="00AA6982"/>
    <w:rsid w:val="00AA74F2"/>
    <w:rsid w:val="00AB00DF"/>
    <w:rsid w:val="00AB00FA"/>
    <w:rsid w:val="00AB05EB"/>
    <w:rsid w:val="00AB0C1B"/>
    <w:rsid w:val="00AB1410"/>
    <w:rsid w:val="00AB18A0"/>
    <w:rsid w:val="00AB1E2C"/>
    <w:rsid w:val="00AB1F1D"/>
    <w:rsid w:val="00AB201F"/>
    <w:rsid w:val="00AB24B3"/>
    <w:rsid w:val="00AB2B11"/>
    <w:rsid w:val="00AB2C9F"/>
    <w:rsid w:val="00AB34B8"/>
    <w:rsid w:val="00AB3616"/>
    <w:rsid w:val="00AB3A2F"/>
    <w:rsid w:val="00AB4064"/>
    <w:rsid w:val="00AB426E"/>
    <w:rsid w:val="00AB49A7"/>
    <w:rsid w:val="00AB53EB"/>
    <w:rsid w:val="00AB5738"/>
    <w:rsid w:val="00AB662F"/>
    <w:rsid w:val="00AB6B40"/>
    <w:rsid w:val="00AB7D6D"/>
    <w:rsid w:val="00AC04D8"/>
    <w:rsid w:val="00AC0ADC"/>
    <w:rsid w:val="00AC1000"/>
    <w:rsid w:val="00AC1FA5"/>
    <w:rsid w:val="00AC24D0"/>
    <w:rsid w:val="00AC25FB"/>
    <w:rsid w:val="00AC3211"/>
    <w:rsid w:val="00AC3D28"/>
    <w:rsid w:val="00AC42BA"/>
    <w:rsid w:val="00AC467E"/>
    <w:rsid w:val="00AC46EE"/>
    <w:rsid w:val="00AC48D3"/>
    <w:rsid w:val="00AC4AA3"/>
    <w:rsid w:val="00AC4CAA"/>
    <w:rsid w:val="00AC5162"/>
    <w:rsid w:val="00AC57C1"/>
    <w:rsid w:val="00AC5A00"/>
    <w:rsid w:val="00AC5B3F"/>
    <w:rsid w:val="00AC64C3"/>
    <w:rsid w:val="00AC69CB"/>
    <w:rsid w:val="00AC6DCE"/>
    <w:rsid w:val="00AD01EC"/>
    <w:rsid w:val="00AD0BF1"/>
    <w:rsid w:val="00AD0F0B"/>
    <w:rsid w:val="00AD1D19"/>
    <w:rsid w:val="00AD3184"/>
    <w:rsid w:val="00AD3934"/>
    <w:rsid w:val="00AD3EA5"/>
    <w:rsid w:val="00AD572E"/>
    <w:rsid w:val="00AD5C84"/>
    <w:rsid w:val="00AD5FE1"/>
    <w:rsid w:val="00AD72AA"/>
    <w:rsid w:val="00AD7CE1"/>
    <w:rsid w:val="00AE020A"/>
    <w:rsid w:val="00AE0291"/>
    <w:rsid w:val="00AE0391"/>
    <w:rsid w:val="00AE05E4"/>
    <w:rsid w:val="00AE0BD0"/>
    <w:rsid w:val="00AE1659"/>
    <w:rsid w:val="00AE169A"/>
    <w:rsid w:val="00AE1EA8"/>
    <w:rsid w:val="00AE23D2"/>
    <w:rsid w:val="00AE2F71"/>
    <w:rsid w:val="00AE2FE1"/>
    <w:rsid w:val="00AE3016"/>
    <w:rsid w:val="00AE3537"/>
    <w:rsid w:val="00AE3F69"/>
    <w:rsid w:val="00AE4372"/>
    <w:rsid w:val="00AE4569"/>
    <w:rsid w:val="00AE47CE"/>
    <w:rsid w:val="00AE53AD"/>
    <w:rsid w:val="00AE58C6"/>
    <w:rsid w:val="00AE6336"/>
    <w:rsid w:val="00AE6C30"/>
    <w:rsid w:val="00AE7929"/>
    <w:rsid w:val="00AE7B32"/>
    <w:rsid w:val="00AF0211"/>
    <w:rsid w:val="00AF05C9"/>
    <w:rsid w:val="00AF0A51"/>
    <w:rsid w:val="00AF15E3"/>
    <w:rsid w:val="00AF208B"/>
    <w:rsid w:val="00AF2441"/>
    <w:rsid w:val="00AF24EC"/>
    <w:rsid w:val="00AF2A14"/>
    <w:rsid w:val="00AF2ECF"/>
    <w:rsid w:val="00AF313A"/>
    <w:rsid w:val="00AF337F"/>
    <w:rsid w:val="00AF357C"/>
    <w:rsid w:val="00AF3D94"/>
    <w:rsid w:val="00AF412E"/>
    <w:rsid w:val="00AF432D"/>
    <w:rsid w:val="00AF477D"/>
    <w:rsid w:val="00AF4E69"/>
    <w:rsid w:val="00AF5437"/>
    <w:rsid w:val="00AF551F"/>
    <w:rsid w:val="00AF58F8"/>
    <w:rsid w:val="00AF6191"/>
    <w:rsid w:val="00AF6348"/>
    <w:rsid w:val="00AF6659"/>
    <w:rsid w:val="00AF6D03"/>
    <w:rsid w:val="00AF6EF8"/>
    <w:rsid w:val="00AF7240"/>
    <w:rsid w:val="00AF776E"/>
    <w:rsid w:val="00AF7792"/>
    <w:rsid w:val="00B00328"/>
    <w:rsid w:val="00B01D96"/>
    <w:rsid w:val="00B02D17"/>
    <w:rsid w:val="00B037ED"/>
    <w:rsid w:val="00B03995"/>
    <w:rsid w:val="00B042EB"/>
    <w:rsid w:val="00B04402"/>
    <w:rsid w:val="00B04CED"/>
    <w:rsid w:val="00B05A60"/>
    <w:rsid w:val="00B05D9F"/>
    <w:rsid w:val="00B05ED3"/>
    <w:rsid w:val="00B0669D"/>
    <w:rsid w:val="00B07158"/>
    <w:rsid w:val="00B07443"/>
    <w:rsid w:val="00B074D6"/>
    <w:rsid w:val="00B07726"/>
    <w:rsid w:val="00B077BA"/>
    <w:rsid w:val="00B07C14"/>
    <w:rsid w:val="00B1012F"/>
    <w:rsid w:val="00B107CC"/>
    <w:rsid w:val="00B10FD3"/>
    <w:rsid w:val="00B11786"/>
    <w:rsid w:val="00B11E4A"/>
    <w:rsid w:val="00B11FC2"/>
    <w:rsid w:val="00B12A59"/>
    <w:rsid w:val="00B12BCF"/>
    <w:rsid w:val="00B12C2A"/>
    <w:rsid w:val="00B133AB"/>
    <w:rsid w:val="00B134D5"/>
    <w:rsid w:val="00B13BE4"/>
    <w:rsid w:val="00B148A5"/>
    <w:rsid w:val="00B14BF2"/>
    <w:rsid w:val="00B14FDD"/>
    <w:rsid w:val="00B1530D"/>
    <w:rsid w:val="00B159AD"/>
    <w:rsid w:val="00B15DA9"/>
    <w:rsid w:val="00B178A0"/>
    <w:rsid w:val="00B17B2A"/>
    <w:rsid w:val="00B17DB2"/>
    <w:rsid w:val="00B17EA3"/>
    <w:rsid w:val="00B204DE"/>
    <w:rsid w:val="00B20823"/>
    <w:rsid w:val="00B20DD0"/>
    <w:rsid w:val="00B2168F"/>
    <w:rsid w:val="00B22211"/>
    <w:rsid w:val="00B22D7D"/>
    <w:rsid w:val="00B22FC4"/>
    <w:rsid w:val="00B23051"/>
    <w:rsid w:val="00B239E0"/>
    <w:rsid w:val="00B23C1E"/>
    <w:rsid w:val="00B23C67"/>
    <w:rsid w:val="00B23E43"/>
    <w:rsid w:val="00B243DF"/>
    <w:rsid w:val="00B244D4"/>
    <w:rsid w:val="00B245AF"/>
    <w:rsid w:val="00B25236"/>
    <w:rsid w:val="00B254AA"/>
    <w:rsid w:val="00B259F8"/>
    <w:rsid w:val="00B25E99"/>
    <w:rsid w:val="00B26244"/>
    <w:rsid w:val="00B2654C"/>
    <w:rsid w:val="00B2656D"/>
    <w:rsid w:val="00B2660B"/>
    <w:rsid w:val="00B26C96"/>
    <w:rsid w:val="00B26D47"/>
    <w:rsid w:val="00B274E2"/>
    <w:rsid w:val="00B27A2E"/>
    <w:rsid w:val="00B30336"/>
    <w:rsid w:val="00B306BB"/>
    <w:rsid w:val="00B30B1B"/>
    <w:rsid w:val="00B31082"/>
    <w:rsid w:val="00B312CF"/>
    <w:rsid w:val="00B319A2"/>
    <w:rsid w:val="00B31F43"/>
    <w:rsid w:val="00B324A8"/>
    <w:rsid w:val="00B3253E"/>
    <w:rsid w:val="00B32935"/>
    <w:rsid w:val="00B32AF0"/>
    <w:rsid w:val="00B32E98"/>
    <w:rsid w:val="00B33377"/>
    <w:rsid w:val="00B3426F"/>
    <w:rsid w:val="00B342A8"/>
    <w:rsid w:val="00B34360"/>
    <w:rsid w:val="00B3485F"/>
    <w:rsid w:val="00B34E41"/>
    <w:rsid w:val="00B3533C"/>
    <w:rsid w:val="00B361C6"/>
    <w:rsid w:val="00B36481"/>
    <w:rsid w:val="00B370E8"/>
    <w:rsid w:val="00B37132"/>
    <w:rsid w:val="00B371B2"/>
    <w:rsid w:val="00B37397"/>
    <w:rsid w:val="00B3752D"/>
    <w:rsid w:val="00B4048F"/>
    <w:rsid w:val="00B4057E"/>
    <w:rsid w:val="00B407B0"/>
    <w:rsid w:val="00B41659"/>
    <w:rsid w:val="00B41664"/>
    <w:rsid w:val="00B419DE"/>
    <w:rsid w:val="00B41CB0"/>
    <w:rsid w:val="00B41FA8"/>
    <w:rsid w:val="00B420EE"/>
    <w:rsid w:val="00B429A6"/>
    <w:rsid w:val="00B42E0A"/>
    <w:rsid w:val="00B42E1E"/>
    <w:rsid w:val="00B4303E"/>
    <w:rsid w:val="00B431A3"/>
    <w:rsid w:val="00B431EA"/>
    <w:rsid w:val="00B43290"/>
    <w:rsid w:val="00B436CF"/>
    <w:rsid w:val="00B4423F"/>
    <w:rsid w:val="00B44AAC"/>
    <w:rsid w:val="00B45199"/>
    <w:rsid w:val="00B45439"/>
    <w:rsid w:val="00B4576B"/>
    <w:rsid w:val="00B45C63"/>
    <w:rsid w:val="00B45DE9"/>
    <w:rsid w:val="00B461E5"/>
    <w:rsid w:val="00B46ADE"/>
    <w:rsid w:val="00B46B80"/>
    <w:rsid w:val="00B47226"/>
    <w:rsid w:val="00B47A7E"/>
    <w:rsid w:val="00B47BED"/>
    <w:rsid w:val="00B47EE6"/>
    <w:rsid w:val="00B50ABC"/>
    <w:rsid w:val="00B50C42"/>
    <w:rsid w:val="00B50D0E"/>
    <w:rsid w:val="00B5172F"/>
    <w:rsid w:val="00B51E95"/>
    <w:rsid w:val="00B52460"/>
    <w:rsid w:val="00B52E80"/>
    <w:rsid w:val="00B53188"/>
    <w:rsid w:val="00B5395E"/>
    <w:rsid w:val="00B53E3A"/>
    <w:rsid w:val="00B53E69"/>
    <w:rsid w:val="00B54799"/>
    <w:rsid w:val="00B549A9"/>
    <w:rsid w:val="00B55622"/>
    <w:rsid w:val="00B55AB5"/>
    <w:rsid w:val="00B5627E"/>
    <w:rsid w:val="00B569F3"/>
    <w:rsid w:val="00B56A2A"/>
    <w:rsid w:val="00B57085"/>
    <w:rsid w:val="00B57126"/>
    <w:rsid w:val="00B57A67"/>
    <w:rsid w:val="00B57B93"/>
    <w:rsid w:val="00B6000C"/>
    <w:rsid w:val="00B601C7"/>
    <w:rsid w:val="00B60489"/>
    <w:rsid w:val="00B6064E"/>
    <w:rsid w:val="00B60A71"/>
    <w:rsid w:val="00B61A13"/>
    <w:rsid w:val="00B6312E"/>
    <w:rsid w:val="00B6425E"/>
    <w:rsid w:val="00B6451A"/>
    <w:rsid w:val="00B648CA"/>
    <w:rsid w:val="00B6509E"/>
    <w:rsid w:val="00B655DD"/>
    <w:rsid w:val="00B658E8"/>
    <w:rsid w:val="00B659FA"/>
    <w:rsid w:val="00B660CB"/>
    <w:rsid w:val="00B67239"/>
    <w:rsid w:val="00B676ED"/>
    <w:rsid w:val="00B678EC"/>
    <w:rsid w:val="00B67E7D"/>
    <w:rsid w:val="00B7012A"/>
    <w:rsid w:val="00B7032B"/>
    <w:rsid w:val="00B706FE"/>
    <w:rsid w:val="00B70A91"/>
    <w:rsid w:val="00B712C0"/>
    <w:rsid w:val="00B71389"/>
    <w:rsid w:val="00B71433"/>
    <w:rsid w:val="00B717D6"/>
    <w:rsid w:val="00B72203"/>
    <w:rsid w:val="00B729F4"/>
    <w:rsid w:val="00B72A03"/>
    <w:rsid w:val="00B732C6"/>
    <w:rsid w:val="00B73672"/>
    <w:rsid w:val="00B738FE"/>
    <w:rsid w:val="00B73A82"/>
    <w:rsid w:val="00B73E06"/>
    <w:rsid w:val="00B74274"/>
    <w:rsid w:val="00B74617"/>
    <w:rsid w:val="00B757F4"/>
    <w:rsid w:val="00B76310"/>
    <w:rsid w:val="00B768F1"/>
    <w:rsid w:val="00B76EA5"/>
    <w:rsid w:val="00B772F8"/>
    <w:rsid w:val="00B7749A"/>
    <w:rsid w:val="00B804E8"/>
    <w:rsid w:val="00B806CB"/>
    <w:rsid w:val="00B80FEA"/>
    <w:rsid w:val="00B81809"/>
    <w:rsid w:val="00B826E3"/>
    <w:rsid w:val="00B82E24"/>
    <w:rsid w:val="00B8322A"/>
    <w:rsid w:val="00B83BAD"/>
    <w:rsid w:val="00B83BB4"/>
    <w:rsid w:val="00B83E41"/>
    <w:rsid w:val="00B841E1"/>
    <w:rsid w:val="00B84389"/>
    <w:rsid w:val="00B8440D"/>
    <w:rsid w:val="00B846E7"/>
    <w:rsid w:val="00B84EE3"/>
    <w:rsid w:val="00B85105"/>
    <w:rsid w:val="00B85258"/>
    <w:rsid w:val="00B8559D"/>
    <w:rsid w:val="00B8647F"/>
    <w:rsid w:val="00B904A8"/>
    <w:rsid w:val="00B90A80"/>
    <w:rsid w:val="00B90F11"/>
    <w:rsid w:val="00B91440"/>
    <w:rsid w:val="00B92C36"/>
    <w:rsid w:val="00B9301E"/>
    <w:rsid w:val="00B9343B"/>
    <w:rsid w:val="00B93458"/>
    <w:rsid w:val="00B93748"/>
    <w:rsid w:val="00B93B8D"/>
    <w:rsid w:val="00B93D44"/>
    <w:rsid w:val="00B94018"/>
    <w:rsid w:val="00B947AA"/>
    <w:rsid w:val="00B95056"/>
    <w:rsid w:val="00B95787"/>
    <w:rsid w:val="00B95E0D"/>
    <w:rsid w:val="00B961C5"/>
    <w:rsid w:val="00B96FA2"/>
    <w:rsid w:val="00B971F0"/>
    <w:rsid w:val="00B97527"/>
    <w:rsid w:val="00BA0392"/>
    <w:rsid w:val="00BA07DA"/>
    <w:rsid w:val="00BA0A87"/>
    <w:rsid w:val="00BA0B53"/>
    <w:rsid w:val="00BA1098"/>
    <w:rsid w:val="00BA176C"/>
    <w:rsid w:val="00BA2367"/>
    <w:rsid w:val="00BA2C21"/>
    <w:rsid w:val="00BA2EE7"/>
    <w:rsid w:val="00BA3314"/>
    <w:rsid w:val="00BA338B"/>
    <w:rsid w:val="00BA3A52"/>
    <w:rsid w:val="00BA427B"/>
    <w:rsid w:val="00BA476A"/>
    <w:rsid w:val="00BA5235"/>
    <w:rsid w:val="00BA5688"/>
    <w:rsid w:val="00BA571F"/>
    <w:rsid w:val="00BA57F4"/>
    <w:rsid w:val="00BA6BE0"/>
    <w:rsid w:val="00BA733D"/>
    <w:rsid w:val="00BA7453"/>
    <w:rsid w:val="00BA7835"/>
    <w:rsid w:val="00BA7A3A"/>
    <w:rsid w:val="00BA7F88"/>
    <w:rsid w:val="00BB00C3"/>
    <w:rsid w:val="00BB0435"/>
    <w:rsid w:val="00BB0F97"/>
    <w:rsid w:val="00BB1423"/>
    <w:rsid w:val="00BB18B7"/>
    <w:rsid w:val="00BB1F52"/>
    <w:rsid w:val="00BB22C0"/>
    <w:rsid w:val="00BB2832"/>
    <w:rsid w:val="00BB29EF"/>
    <w:rsid w:val="00BB3C71"/>
    <w:rsid w:val="00BB4021"/>
    <w:rsid w:val="00BB51F8"/>
    <w:rsid w:val="00BB52EC"/>
    <w:rsid w:val="00BB58E7"/>
    <w:rsid w:val="00BB62C0"/>
    <w:rsid w:val="00BB6A49"/>
    <w:rsid w:val="00BB7233"/>
    <w:rsid w:val="00BB7493"/>
    <w:rsid w:val="00BB7554"/>
    <w:rsid w:val="00BB7C42"/>
    <w:rsid w:val="00BB7EC5"/>
    <w:rsid w:val="00BC0576"/>
    <w:rsid w:val="00BC1699"/>
    <w:rsid w:val="00BC18E4"/>
    <w:rsid w:val="00BC1E76"/>
    <w:rsid w:val="00BC23AF"/>
    <w:rsid w:val="00BC275A"/>
    <w:rsid w:val="00BC397C"/>
    <w:rsid w:val="00BC41B9"/>
    <w:rsid w:val="00BC44FA"/>
    <w:rsid w:val="00BC4A45"/>
    <w:rsid w:val="00BC4FB2"/>
    <w:rsid w:val="00BC5CCC"/>
    <w:rsid w:val="00BC5D32"/>
    <w:rsid w:val="00BC647C"/>
    <w:rsid w:val="00BC6A13"/>
    <w:rsid w:val="00BC6D31"/>
    <w:rsid w:val="00BC6E7F"/>
    <w:rsid w:val="00BC700F"/>
    <w:rsid w:val="00BC7476"/>
    <w:rsid w:val="00BD0753"/>
    <w:rsid w:val="00BD0B40"/>
    <w:rsid w:val="00BD15F4"/>
    <w:rsid w:val="00BD170B"/>
    <w:rsid w:val="00BD18D2"/>
    <w:rsid w:val="00BD2088"/>
    <w:rsid w:val="00BD23E6"/>
    <w:rsid w:val="00BD2B33"/>
    <w:rsid w:val="00BD2E3C"/>
    <w:rsid w:val="00BD33F2"/>
    <w:rsid w:val="00BD390E"/>
    <w:rsid w:val="00BD3FA0"/>
    <w:rsid w:val="00BD653D"/>
    <w:rsid w:val="00BD6584"/>
    <w:rsid w:val="00BD67EA"/>
    <w:rsid w:val="00BD6D11"/>
    <w:rsid w:val="00BD76B6"/>
    <w:rsid w:val="00BD7FBA"/>
    <w:rsid w:val="00BE011D"/>
    <w:rsid w:val="00BE035A"/>
    <w:rsid w:val="00BE03B7"/>
    <w:rsid w:val="00BE040F"/>
    <w:rsid w:val="00BE0CA5"/>
    <w:rsid w:val="00BE0D88"/>
    <w:rsid w:val="00BE0F00"/>
    <w:rsid w:val="00BE1053"/>
    <w:rsid w:val="00BE1380"/>
    <w:rsid w:val="00BE1787"/>
    <w:rsid w:val="00BE2019"/>
    <w:rsid w:val="00BE2703"/>
    <w:rsid w:val="00BE30C2"/>
    <w:rsid w:val="00BE3366"/>
    <w:rsid w:val="00BE3480"/>
    <w:rsid w:val="00BE359E"/>
    <w:rsid w:val="00BE373A"/>
    <w:rsid w:val="00BE37B9"/>
    <w:rsid w:val="00BE46C2"/>
    <w:rsid w:val="00BE4A03"/>
    <w:rsid w:val="00BE4DAF"/>
    <w:rsid w:val="00BE5253"/>
    <w:rsid w:val="00BE55DC"/>
    <w:rsid w:val="00BE5C7B"/>
    <w:rsid w:val="00BE6501"/>
    <w:rsid w:val="00BE68CF"/>
    <w:rsid w:val="00BE6DFC"/>
    <w:rsid w:val="00BE71AD"/>
    <w:rsid w:val="00BE736D"/>
    <w:rsid w:val="00BE75C5"/>
    <w:rsid w:val="00BE7D69"/>
    <w:rsid w:val="00BE7FF3"/>
    <w:rsid w:val="00BF0329"/>
    <w:rsid w:val="00BF04CE"/>
    <w:rsid w:val="00BF11F2"/>
    <w:rsid w:val="00BF1456"/>
    <w:rsid w:val="00BF1739"/>
    <w:rsid w:val="00BF1795"/>
    <w:rsid w:val="00BF1A7E"/>
    <w:rsid w:val="00BF22F5"/>
    <w:rsid w:val="00BF2527"/>
    <w:rsid w:val="00BF27EB"/>
    <w:rsid w:val="00BF2A35"/>
    <w:rsid w:val="00BF32D5"/>
    <w:rsid w:val="00BF342B"/>
    <w:rsid w:val="00BF34A4"/>
    <w:rsid w:val="00BF3963"/>
    <w:rsid w:val="00BF4611"/>
    <w:rsid w:val="00BF46FD"/>
    <w:rsid w:val="00BF5068"/>
    <w:rsid w:val="00BF5665"/>
    <w:rsid w:val="00BF5DA0"/>
    <w:rsid w:val="00BF65DF"/>
    <w:rsid w:val="00BF6747"/>
    <w:rsid w:val="00BF689F"/>
    <w:rsid w:val="00BF6BB9"/>
    <w:rsid w:val="00BF75E5"/>
    <w:rsid w:val="00BF779F"/>
    <w:rsid w:val="00BF7A67"/>
    <w:rsid w:val="00C00082"/>
    <w:rsid w:val="00C000F7"/>
    <w:rsid w:val="00C00932"/>
    <w:rsid w:val="00C00AF4"/>
    <w:rsid w:val="00C00D32"/>
    <w:rsid w:val="00C00E0C"/>
    <w:rsid w:val="00C01316"/>
    <w:rsid w:val="00C01D1D"/>
    <w:rsid w:val="00C02E13"/>
    <w:rsid w:val="00C030A7"/>
    <w:rsid w:val="00C03527"/>
    <w:rsid w:val="00C03E13"/>
    <w:rsid w:val="00C047AB"/>
    <w:rsid w:val="00C04E84"/>
    <w:rsid w:val="00C05A36"/>
    <w:rsid w:val="00C05DB1"/>
    <w:rsid w:val="00C06440"/>
    <w:rsid w:val="00C06F71"/>
    <w:rsid w:val="00C07251"/>
    <w:rsid w:val="00C07583"/>
    <w:rsid w:val="00C10AB9"/>
    <w:rsid w:val="00C10D99"/>
    <w:rsid w:val="00C111FD"/>
    <w:rsid w:val="00C113F1"/>
    <w:rsid w:val="00C11695"/>
    <w:rsid w:val="00C11C3D"/>
    <w:rsid w:val="00C11D56"/>
    <w:rsid w:val="00C12908"/>
    <w:rsid w:val="00C12D83"/>
    <w:rsid w:val="00C12EBA"/>
    <w:rsid w:val="00C12F0E"/>
    <w:rsid w:val="00C130BF"/>
    <w:rsid w:val="00C135DC"/>
    <w:rsid w:val="00C13C9C"/>
    <w:rsid w:val="00C1581B"/>
    <w:rsid w:val="00C15EA3"/>
    <w:rsid w:val="00C170D4"/>
    <w:rsid w:val="00C175D2"/>
    <w:rsid w:val="00C1795A"/>
    <w:rsid w:val="00C200B6"/>
    <w:rsid w:val="00C209B8"/>
    <w:rsid w:val="00C20B73"/>
    <w:rsid w:val="00C20EAA"/>
    <w:rsid w:val="00C21248"/>
    <w:rsid w:val="00C213CD"/>
    <w:rsid w:val="00C21467"/>
    <w:rsid w:val="00C2227D"/>
    <w:rsid w:val="00C22471"/>
    <w:rsid w:val="00C226C8"/>
    <w:rsid w:val="00C228CA"/>
    <w:rsid w:val="00C22BD7"/>
    <w:rsid w:val="00C22E31"/>
    <w:rsid w:val="00C230F8"/>
    <w:rsid w:val="00C23B9D"/>
    <w:rsid w:val="00C24402"/>
    <w:rsid w:val="00C24E9E"/>
    <w:rsid w:val="00C2537B"/>
    <w:rsid w:val="00C253BC"/>
    <w:rsid w:val="00C2550D"/>
    <w:rsid w:val="00C258EC"/>
    <w:rsid w:val="00C25E15"/>
    <w:rsid w:val="00C27065"/>
    <w:rsid w:val="00C27B00"/>
    <w:rsid w:val="00C301BD"/>
    <w:rsid w:val="00C30A3B"/>
    <w:rsid w:val="00C30A9E"/>
    <w:rsid w:val="00C3162E"/>
    <w:rsid w:val="00C32207"/>
    <w:rsid w:val="00C323C8"/>
    <w:rsid w:val="00C32BC4"/>
    <w:rsid w:val="00C32BCC"/>
    <w:rsid w:val="00C33877"/>
    <w:rsid w:val="00C33949"/>
    <w:rsid w:val="00C348F3"/>
    <w:rsid w:val="00C34B44"/>
    <w:rsid w:val="00C34CB0"/>
    <w:rsid w:val="00C35CA7"/>
    <w:rsid w:val="00C35CD6"/>
    <w:rsid w:val="00C35D68"/>
    <w:rsid w:val="00C364EB"/>
    <w:rsid w:val="00C368D9"/>
    <w:rsid w:val="00C36964"/>
    <w:rsid w:val="00C369B8"/>
    <w:rsid w:val="00C37402"/>
    <w:rsid w:val="00C37871"/>
    <w:rsid w:val="00C40434"/>
    <w:rsid w:val="00C406A9"/>
    <w:rsid w:val="00C40B9D"/>
    <w:rsid w:val="00C4130E"/>
    <w:rsid w:val="00C41C08"/>
    <w:rsid w:val="00C41C6F"/>
    <w:rsid w:val="00C41CC8"/>
    <w:rsid w:val="00C4272A"/>
    <w:rsid w:val="00C42801"/>
    <w:rsid w:val="00C42887"/>
    <w:rsid w:val="00C42A72"/>
    <w:rsid w:val="00C42D09"/>
    <w:rsid w:val="00C42F45"/>
    <w:rsid w:val="00C43032"/>
    <w:rsid w:val="00C43195"/>
    <w:rsid w:val="00C43444"/>
    <w:rsid w:val="00C437AC"/>
    <w:rsid w:val="00C43E8C"/>
    <w:rsid w:val="00C43F94"/>
    <w:rsid w:val="00C44615"/>
    <w:rsid w:val="00C44DDB"/>
    <w:rsid w:val="00C45591"/>
    <w:rsid w:val="00C461BF"/>
    <w:rsid w:val="00C4660E"/>
    <w:rsid w:val="00C466B0"/>
    <w:rsid w:val="00C476D0"/>
    <w:rsid w:val="00C47794"/>
    <w:rsid w:val="00C47C73"/>
    <w:rsid w:val="00C505AC"/>
    <w:rsid w:val="00C50B60"/>
    <w:rsid w:val="00C51905"/>
    <w:rsid w:val="00C52C71"/>
    <w:rsid w:val="00C53148"/>
    <w:rsid w:val="00C5341D"/>
    <w:rsid w:val="00C53EC1"/>
    <w:rsid w:val="00C5486C"/>
    <w:rsid w:val="00C54B08"/>
    <w:rsid w:val="00C55008"/>
    <w:rsid w:val="00C55710"/>
    <w:rsid w:val="00C56828"/>
    <w:rsid w:val="00C568BB"/>
    <w:rsid w:val="00C56DAD"/>
    <w:rsid w:val="00C57A4F"/>
    <w:rsid w:val="00C57EC7"/>
    <w:rsid w:val="00C60888"/>
    <w:rsid w:val="00C60F8D"/>
    <w:rsid w:val="00C611F3"/>
    <w:rsid w:val="00C617B7"/>
    <w:rsid w:val="00C61EEE"/>
    <w:rsid w:val="00C62017"/>
    <w:rsid w:val="00C6244D"/>
    <w:rsid w:val="00C624BA"/>
    <w:rsid w:val="00C626D7"/>
    <w:rsid w:val="00C6281C"/>
    <w:rsid w:val="00C62CED"/>
    <w:rsid w:val="00C62FCD"/>
    <w:rsid w:val="00C635D1"/>
    <w:rsid w:val="00C64047"/>
    <w:rsid w:val="00C647FE"/>
    <w:rsid w:val="00C64DB8"/>
    <w:rsid w:val="00C654AB"/>
    <w:rsid w:val="00C657F8"/>
    <w:rsid w:val="00C6665D"/>
    <w:rsid w:val="00C66B92"/>
    <w:rsid w:val="00C671B6"/>
    <w:rsid w:val="00C67440"/>
    <w:rsid w:val="00C67CD3"/>
    <w:rsid w:val="00C67E01"/>
    <w:rsid w:val="00C67FB7"/>
    <w:rsid w:val="00C706C8"/>
    <w:rsid w:val="00C70B57"/>
    <w:rsid w:val="00C7139F"/>
    <w:rsid w:val="00C71658"/>
    <w:rsid w:val="00C7417C"/>
    <w:rsid w:val="00C746B5"/>
    <w:rsid w:val="00C749C5"/>
    <w:rsid w:val="00C7595B"/>
    <w:rsid w:val="00C759C7"/>
    <w:rsid w:val="00C75B92"/>
    <w:rsid w:val="00C75C9F"/>
    <w:rsid w:val="00C75DAF"/>
    <w:rsid w:val="00C7717C"/>
    <w:rsid w:val="00C77825"/>
    <w:rsid w:val="00C778E6"/>
    <w:rsid w:val="00C77B60"/>
    <w:rsid w:val="00C80619"/>
    <w:rsid w:val="00C80D46"/>
    <w:rsid w:val="00C80DBC"/>
    <w:rsid w:val="00C817C4"/>
    <w:rsid w:val="00C81883"/>
    <w:rsid w:val="00C81F3A"/>
    <w:rsid w:val="00C8290C"/>
    <w:rsid w:val="00C82D13"/>
    <w:rsid w:val="00C83E6A"/>
    <w:rsid w:val="00C84321"/>
    <w:rsid w:val="00C850D8"/>
    <w:rsid w:val="00C853F8"/>
    <w:rsid w:val="00C8544D"/>
    <w:rsid w:val="00C8681E"/>
    <w:rsid w:val="00C87519"/>
    <w:rsid w:val="00C8776E"/>
    <w:rsid w:val="00C900BC"/>
    <w:rsid w:val="00C90306"/>
    <w:rsid w:val="00C90C3B"/>
    <w:rsid w:val="00C90DBE"/>
    <w:rsid w:val="00C9161D"/>
    <w:rsid w:val="00C92203"/>
    <w:rsid w:val="00C92227"/>
    <w:rsid w:val="00C92BD1"/>
    <w:rsid w:val="00C92DE6"/>
    <w:rsid w:val="00C931E6"/>
    <w:rsid w:val="00C93A0A"/>
    <w:rsid w:val="00C94849"/>
    <w:rsid w:val="00C948F1"/>
    <w:rsid w:val="00C94977"/>
    <w:rsid w:val="00C9514D"/>
    <w:rsid w:val="00C953E6"/>
    <w:rsid w:val="00C96854"/>
    <w:rsid w:val="00C97082"/>
    <w:rsid w:val="00C97631"/>
    <w:rsid w:val="00C976EE"/>
    <w:rsid w:val="00C97B3E"/>
    <w:rsid w:val="00CA02A4"/>
    <w:rsid w:val="00CA02A6"/>
    <w:rsid w:val="00CA03EB"/>
    <w:rsid w:val="00CA04B5"/>
    <w:rsid w:val="00CA0BD0"/>
    <w:rsid w:val="00CA0E05"/>
    <w:rsid w:val="00CA1104"/>
    <w:rsid w:val="00CA1B71"/>
    <w:rsid w:val="00CA1C05"/>
    <w:rsid w:val="00CA1F1C"/>
    <w:rsid w:val="00CA2492"/>
    <w:rsid w:val="00CA2ABA"/>
    <w:rsid w:val="00CA2DD9"/>
    <w:rsid w:val="00CA2E19"/>
    <w:rsid w:val="00CA2E77"/>
    <w:rsid w:val="00CA3266"/>
    <w:rsid w:val="00CA3337"/>
    <w:rsid w:val="00CA3630"/>
    <w:rsid w:val="00CA385C"/>
    <w:rsid w:val="00CA42BC"/>
    <w:rsid w:val="00CA48D7"/>
    <w:rsid w:val="00CA5194"/>
    <w:rsid w:val="00CA53B5"/>
    <w:rsid w:val="00CA5859"/>
    <w:rsid w:val="00CA65EC"/>
    <w:rsid w:val="00CA6809"/>
    <w:rsid w:val="00CA7740"/>
    <w:rsid w:val="00CA77A6"/>
    <w:rsid w:val="00CA7F1C"/>
    <w:rsid w:val="00CB0CCF"/>
    <w:rsid w:val="00CB11F0"/>
    <w:rsid w:val="00CB1288"/>
    <w:rsid w:val="00CB141A"/>
    <w:rsid w:val="00CB1566"/>
    <w:rsid w:val="00CB181C"/>
    <w:rsid w:val="00CB1A7B"/>
    <w:rsid w:val="00CB1E15"/>
    <w:rsid w:val="00CB2131"/>
    <w:rsid w:val="00CB22AF"/>
    <w:rsid w:val="00CB2A94"/>
    <w:rsid w:val="00CB2E2D"/>
    <w:rsid w:val="00CB4118"/>
    <w:rsid w:val="00CB43B2"/>
    <w:rsid w:val="00CB5BCE"/>
    <w:rsid w:val="00CB5F95"/>
    <w:rsid w:val="00CB64F0"/>
    <w:rsid w:val="00CB7A89"/>
    <w:rsid w:val="00CB7F4F"/>
    <w:rsid w:val="00CC02AF"/>
    <w:rsid w:val="00CC0E56"/>
    <w:rsid w:val="00CC0FDB"/>
    <w:rsid w:val="00CC11CB"/>
    <w:rsid w:val="00CC1FF2"/>
    <w:rsid w:val="00CC2051"/>
    <w:rsid w:val="00CC2322"/>
    <w:rsid w:val="00CC2362"/>
    <w:rsid w:val="00CC2FF0"/>
    <w:rsid w:val="00CC43F0"/>
    <w:rsid w:val="00CC5468"/>
    <w:rsid w:val="00CC63D7"/>
    <w:rsid w:val="00CC6F62"/>
    <w:rsid w:val="00CC7640"/>
    <w:rsid w:val="00CC7955"/>
    <w:rsid w:val="00CC7DFC"/>
    <w:rsid w:val="00CD08B5"/>
    <w:rsid w:val="00CD0C01"/>
    <w:rsid w:val="00CD13C8"/>
    <w:rsid w:val="00CD2461"/>
    <w:rsid w:val="00CD2EF7"/>
    <w:rsid w:val="00CD3012"/>
    <w:rsid w:val="00CD43DB"/>
    <w:rsid w:val="00CD4D7E"/>
    <w:rsid w:val="00CD5322"/>
    <w:rsid w:val="00CD5585"/>
    <w:rsid w:val="00CD5A4D"/>
    <w:rsid w:val="00CD5B01"/>
    <w:rsid w:val="00CD5CFD"/>
    <w:rsid w:val="00CD5F70"/>
    <w:rsid w:val="00CD635B"/>
    <w:rsid w:val="00CD69C9"/>
    <w:rsid w:val="00CD765A"/>
    <w:rsid w:val="00CD792A"/>
    <w:rsid w:val="00CD798A"/>
    <w:rsid w:val="00CD79C1"/>
    <w:rsid w:val="00CE0B4E"/>
    <w:rsid w:val="00CE1094"/>
    <w:rsid w:val="00CE142E"/>
    <w:rsid w:val="00CE1958"/>
    <w:rsid w:val="00CE4018"/>
    <w:rsid w:val="00CE47D1"/>
    <w:rsid w:val="00CE491E"/>
    <w:rsid w:val="00CE510F"/>
    <w:rsid w:val="00CE517E"/>
    <w:rsid w:val="00CE59B4"/>
    <w:rsid w:val="00CE5B15"/>
    <w:rsid w:val="00CE5CE1"/>
    <w:rsid w:val="00CE625D"/>
    <w:rsid w:val="00CE62B1"/>
    <w:rsid w:val="00CE6958"/>
    <w:rsid w:val="00CE6F93"/>
    <w:rsid w:val="00CE6FAD"/>
    <w:rsid w:val="00CE78C5"/>
    <w:rsid w:val="00CE79D8"/>
    <w:rsid w:val="00CF09EC"/>
    <w:rsid w:val="00CF1674"/>
    <w:rsid w:val="00CF1EEB"/>
    <w:rsid w:val="00CF2728"/>
    <w:rsid w:val="00CF2759"/>
    <w:rsid w:val="00CF2C30"/>
    <w:rsid w:val="00CF2DA4"/>
    <w:rsid w:val="00CF2F0D"/>
    <w:rsid w:val="00CF3A34"/>
    <w:rsid w:val="00CF3B3F"/>
    <w:rsid w:val="00CF461B"/>
    <w:rsid w:val="00CF4CF9"/>
    <w:rsid w:val="00CF54C1"/>
    <w:rsid w:val="00CF5913"/>
    <w:rsid w:val="00CF5E84"/>
    <w:rsid w:val="00CF67E0"/>
    <w:rsid w:val="00CF6822"/>
    <w:rsid w:val="00CF7B36"/>
    <w:rsid w:val="00CF7B7E"/>
    <w:rsid w:val="00CF7CA6"/>
    <w:rsid w:val="00CF7DC7"/>
    <w:rsid w:val="00D007DB"/>
    <w:rsid w:val="00D00A15"/>
    <w:rsid w:val="00D0104C"/>
    <w:rsid w:val="00D0114F"/>
    <w:rsid w:val="00D01204"/>
    <w:rsid w:val="00D01F6B"/>
    <w:rsid w:val="00D02D0A"/>
    <w:rsid w:val="00D02E03"/>
    <w:rsid w:val="00D03359"/>
    <w:rsid w:val="00D03A93"/>
    <w:rsid w:val="00D03DB6"/>
    <w:rsid w:val="00D042B0"/>
    <w:rsid w:val="00D04704"/>
    <w:rsid w:val="00D04AF1"/>
    <w:rsid w:val="00D05273"/>
    <w:rsid w:val="00D059E4"/>
    <w:rsid w:val="00D05E50"/>
    <w:rsid w:val="00D05EA9"/>
    <w:rsid w:val="00D061E8"/>
    <w:rsid w:val="00D064B3"/>
    <w:rsid w:val="00D074F7"/>
    <w:rsid w:val="00D075D1"/>
    <w:rsid w:val="00D07C58"/>
    <w:rsid w:val="00D1042F"/>
    <w:rsid w:val="00D10813"/>
    <w:rsid w:val="00D10958"/>
    <w:rsid w:val="00D10EF2"/>
    <w:rsid w:val="00D10FBC"/>
    <w:rsid w:val="00D11047"/>
    <w:rsid w:val="00D11524"/>
    <w:rsid w:val="00D11A5D"/>
    <w:rsid w:val="00D11CCD"/>
    <w:rsid w:val="00D11FC0"/>
    <w:rsid w:val="00D124B1"/>
    <w:rsid w:val="00D12EA5"/>
    <w:rsid w:val="00D13529"/>
    <w:rsid w:val="00D149A1"/>
    <w:rsid w:val="00D14B86"/>
    <w:rsid w:val="00D14B94"/>
    <w:rsid w:val="00D14EB6"/>
    <w:rsid w:val="00D1598C"/>
    <w:rsid w:val="00D1671E"/>
    <w:rsid w:val="00D16D20"/>
    <w:rsid w:val="00D16F00"/>
    <w:rsid w:val="00D173CF"/>
    <w:rsid w:val="00D20647"/>
    <w:rsid w:val="00D21443"/>
    <w:rsid w:val="00D214D5"/>
    <w:rsid w:val="00D2157D"/>
    <w:rsid w:val="00D2158E"/>
    <w:rsid w:val="00D228BC"/>
    <w:rsid w:val="00D23387"/>
    <w:rsid w:val="00D23AA1"/>
    <w:rsid w:val="00D23D1D"/>
    <w:rsid w:val="00D247FA"/>
    <w:rsid w:val="00D248CE"/>
    <w:rsid w:val="00D24938"/>
    <w:rsid w:val="00D24974"/>
    <w:rsid w:val="00D255BF"/>
    <w:rsid w:val="00D25A80"/>
    <w:rsid w:val="00D262B9"/>
    <w:rsid w:val="00D269A4"/>
    <w:rsid w:val="00D270DD"/>
    <w:rsid w:val="00D2730D"/>
    <w:rsid w:val="00D2739D"/>
    <w:rsid w:val="00D2740E"/>
    <w:rsid w:val="00D2768D"/>
    <w:rsid w:val="00D27CB8"/>
    <w:rsid w:val="00D27E8F"/>
    <w:rsid w:val="00D30183"/>
    <w:rsid w:val="00D303C1"/>
    <w:rsid w:val="00D308A9"/>
    <w:rsid w:val="00D30F6B"/>
    <w:rsid w:val="00D3213F"/>
    <w:rsid w:val="00D32183"/>
    <w:rsid w:val="00D321BE"/>
    <w:rsid w:val="00D32854"/>
    <w:rsid w:val="00D335DA"/>
    <w:rsid w:val="00D3361C"/>
    <w:rsid w:val="00D336A9"/>
    <w:rsid w:val="00D336F6"/>
    <w:rsid w:val="00D34479"/>
    <w:rsid w:val="00D34A1C"/>
    <w:rsid w:val="00D34BBB"/>
    <w:rsid w:val="00D34DC6"/>
    <w:rsid w:val="00D352BA"/>
    <w:rsid w:val="00D35622"/>
    <w:rsid w:val="00D35981"/>
    <w:rsid w:val="00D35B0A"/>
    <w:rsid w:val="00D36844"/>
    <w:rsid w:val="00D37CA1"/>
    <w:rsid w:val="00D37FBB"/>
    <w:rsid w:val="00D40BE3"/>
    <w:rsid w:val="00D415C8"/>
    <w:rsid w:val="00D42945"/>
    <w:rsid w:val="00D4426F"/>
    <w:rsid w:val="00D443C7"/>
    <w:rsid w:val="00D4461A"/>
    <w:rsid w:val="00D44B02"/>
    <w:rsid w:val="00D44B46"/>
    <w:rsid w:val="00D44F71"/>
    <w:rsid w:val="00D450AC"/>
    <w:rsid w:val="00D45AAF"/>
    <w:rsid w:val="00D45AD4"/>
    <w:rsid w:val="00D469BF"/>
    <w:rsid w:val="00D4701D"/>
    <w:rsid w:val="00D47528"/>
    <w:rsid w:val="00D47819"/>
    <w:rsid w:val="00D478F5"/>
    <w:rsid w:val="00D47C1C"/>
    <w:rsid w:val="00D5017A"/>
    <w:rsid w:val="00D50B10"/>
    <w:rsid w:val="00D511E9"/>
    <w:rsid w:val="00D51298"/>
    <w:rsid w:val="00D5174D"/>
    <w:rsid w:val="00D52ADB"/>
    <w:rsid w:val="00D5359F"/>
    <w:rsid w:val="00D53840"/>
    <w:rsid w:val="00D53B2E"/>
    <w:rsid w:val="00D54195"/>
    <w:rsid w:val="00D543B5"/>
    <w:rsid w:val="00D5443D"/>
    <w:rsid w:val="00D544B4"/>
    <w:rsid w:val="00D5471D"/>
    <w:rsid w:val="00D54ABD"/>
    <w:rsid w:val="00D54C18"/>
    <w:rsid w:val="00D55642"/>
    <w:rsid w:val="00D5645D"/>
    <w:rsid w:val="00D56C1C"/>
    <w:rsid w:val="00D572A2"/>
    <w:rsid w:val="00D5759D"/>
    <w:rsid w:val="00D57616"/>
    <w:rsid w:val="00D57A36"/>
    <w:rsid w:val="00D57E42"/>
    <w:rsid w:val="00D57F2A"/>
    <w:rsid w:val="00D60946"/>
    <w:rsid w:val="00D60A99"/>
    <w:rsid w:val="00D60EF0"/>
    <w:rsid w:val="00D614EF"/>
    <w:rsid w:val="00D61CE1"/>
    <w:rsid w:val="00D61FB9"/>
    <w:rsid w:val="00D62634"/>
    <w:rsid w:val="00D62B7C"/>
    <w:rsid w:val="00D62CFA"/>
    <w:rsid w:val="00D62FAE"/>
    <w:rsid w:val="00D63666"/>
    <w:rsid w:val="00D63A0F"/>
    <w:rsid w:val="00D63BA9"/>
    <w:rsid w:val="00D63F5C"/>
    <w:rsid w:val="00D650B9"/>
    <w:rsid w:val="00D6528A"/>
    <w:rsid w:val="00D65BB6"/>
    <w:rsid w:val="00D65EFD"/>
    <w:rsid w:val="00D660B5"/>
    <w:rsid w:val="00D66478"/>
    <w:rsid w:val="00D7022B"/>
    <w:rsid w:val="00D70674"/>
    <w:rsid w:val="00D71199"/>
    <w:rsid w:val="00D71868"/>
    <w:rsid w:val="00D71C42"/>
    <w:rsid w:val="00D73068"/>
    <w:rsid w:val="00D735B2"/>
    <w:rsid w:val="00D73923"/>
    <w:rsid w:val="00D73C93"/>
    <w:rsid w:val="00D73D9D"/>
    <w:rsid w:val="00D741F4"/>
    <w:rsid w:val="00D748B0"/>
    <w:rsid w:val="00D74DCE"/>
    <w:rsid w:val="00D75039"/>
    <w:rsid w:val="00D75C91"/>
    <w:rsid w:val="00D75E75"/>
    <w:rsid w:val="00D76112"/>
    <w:rsid w:val="00D76A4E"/>
    <w:rsid w:val="00D76DC6"/>
    <w:rsid w:val="00D77A1F"/>
    <w:rsid w:val="00D8030A"/>
    <w:rsid w:val="00D80E3A"/>
    <w:rsid w:val="00D812B9"/>
    <w:rsid w:val="00D816F4"/>
    <w:rsid w:val="00D81C4B"/>
    <w:rsid w:val="00D81DFE"/>
    <w:rsid w:val="00D81E54"/>
    <w:rsid w:val="00D826C6"/>
    <w:rsid w:val="00D82898"/>
    <w:rsid w:val="00D8313A"/>
    <w:rsid w:val="00D833D2"/>
    <w:rsid w:val="00D83783"/>
    <w:rsid w:val="00D83F60"/>
    <w:rsid w:val="00D841F0"/>
    <w:rsid w:val="00D848ED"/>
    <w:rsid w:val="00D8536B"/>
    <w:rsid w:val="00D853ED"/>
    <w:rsid w:val="00D855A7"/>
    <w:rsid w:val="00D8577A"/>
    <w:rsid w:val="00D85938"/>
    <w:rsid w:val="00D85E61"/>
    <w:rsid w:val="00D86175"/>
    <w:rsid w:val="00D87012"/>
    <w:rsid w:val="00D8761D"/>
    <w:rsid w:val="00D879FB"/>
    <w:rsid w:val="00D900DA"/>
    <w:rsid w:val="00D90104"/>
    <w:rsid w:val="00D90DA3"/>
    <w:rsid w:val="00D910E8"/>
    <w:rsid w:val="00D9239B"/>
    <w:rsid w:val="00D92BD0"/>
    <w:rsid w:val="00D938E7"/>
    <w:rsid w:val="00D939D7"/>
    <w:rsid w:val="00D93F44"/>
    <w:rsid w:val="00D94016"/>
    <w:rsid w:val="00D94AAC"/>
    <w:rsid w:val="00D95051"/>
    <w:rsid w:val="00D9579D"/>
    <w:rsid w:val="00D9591A"/>
    <w:rsid w:val="00D96572"/>
    <w:rsid w:val="00D966EC"/>
    <w:rsid w:val="00D96A65"/>
    <w:rsid w:val="00D96EFB"/>
    <w:rsid w:val="00D96F4C"/>
    <w:rsid w:val="00D972A8"/>
    <w:rsid w:val="00D97E57"/>
    <w:rsid w:val="00DA0801"/>
    <w:rsid w:val="00DA10EC"/>
    <w:rsid w:val="00DA19E7"/>
    <w:rsid w:val="00DA27A4"/>
    <w:rsid w:val="00DA3099"/>
    <w:rsid w:val="00DA3C84"/>
    <w:rsid w:val="00DA3E0A"/>
    <w:rsid w:val="00DA420B"/>
    <w:rsid w:val="00DA42C0"/>
    <w:rsid w:val="00DA4477"/>
    <w:rsid w:val="00DA52CF"/>
    <w:rsid w:val="00DA54BD"/>
    <w:rsid w:val="00DA6D00"/>
    <w:rsid w:val="00DA6E27"/>
    <w:rsid w:val="00DA7054"/>
    <w:rsid w:val="00DA7294"/>
    <w:rsid w:val="00DB0449"/>
    <w:rsid w:val="00DB063B"/>
    <w:rsid w:val="00DB1152"/>
    <w:rsid w:val="00DB16E9"/>
    <w:rsid w:val="00DB17E7"/>
    <w:rsid w:val="00DB1EA8"/>
    <w:rsid w:val="00DB2612"/>
    <w:rsid w:val="00DB2B11"/>
    <w:rsid w:val="00DB34DB"/>
    <w:rsid w:val="00DB36E1"/>
    <w:rsid w:val="00DB3A00"/>
    <w:rsid w:val="00DB3C9E"/>
    <w:rsid w:val="00DB4423"/>
    <w:rsid w:val="00DB445F"/>
    <w:rsid w:val="00DB505F"/>
    <w:rsid w:val="00DB5A51"/>
    <w:rsid w:val="00DB6BAB"/>
    <w:rsid w:val="00DB6CC4"/>
    <w:rsid w:val="00DB72F8"/>
    <w:rsid w:val="00DB740A"/>
    <w:rsid w:val="00DB786A"/>
    <w:rsid w:val="00DC0224"/>
    <w:rsid w:val="00DC0666"/>
    <w:rsid w:val="00DC075C"/>
    <w:rsid w:val="00DC0B04"/>
    <w:rsid w:val="00DC1FBA"/>
    <w:rsid w:val="00DC210A"/>
    <w:rsid w:val="00DC280A"/>
    <w:rsid w:val="00DC316E"/>
    <w:rsid w:val="00DC3269"/>
    <w:rsid w:val="00DC356C"/>
    <w:rsid w:val="00DC430E"/>
    <w:rsid w:val="00DC4AAD"/>
    <w:rsid w:val="00DC51E1"/>
    <w:rsid w:val="00DC587D"/>
    <w:rsid w:val="00DC5FD1"/>
    <w:rsid w:val="00DC604E"/>
    <w:rsid w:val="00DC66F8"/>
    <w:rsid w:val="00DC688F"/>
    <w:rsid w:val="00DC79A3"/>
    <w:rsid w:val="00DC7D8A"/>
    <w:rsid w:val="00DD0B06"/>
    <w:rsid w:val="00DD2296"/>
    <w:rsid w:val="00DD2E41"/>
    <w:rsid w:val="00DD3044"/>
    <w:rsid w:val="00DD35AD"/>
    <w:rsid w:val="00DD45F8"/>
    <w:rsid w:val="00DD46C2"/>
    <w:rsid w:val="00DD48A0"/>
    <w:rsid w:val="00DD499A"/>
    <w:rsid w:val="00DD4BA2"/>
    <w:rsid w:val="00DD4D64"/>
    <w:rsid w:val="00DD4F58"/>
    <w:rsid w:val="00DD52DF"/>
    <w:rsid w:val="00DD57B8"/>
    <w:rsid w:val="00DD5B67"/>
    <w:rsid w:val="00DD5D81"/>
    <w:rsid w:val="00DD6202"/>
    <w:rsid w:val="00DD698F"/>
    <w:rsid w:val="00DD69F8"/>
    <w:rsid w:val="00DD6D43"/>
    <w:rsid w:val="00DD71CD"/>
    <w:rsid w:val="00DD75A7"/>
    <w:rsid w:val="00DD75AC"/>
    <w:rsid w:val="00DD783C"/>
    <w:rsid w:val="00DE0319"/>
    <w:rsid w:val="00DE0877"/>
    <w:rsid w:val="00DE0E54"/>
    <w:rsid w:val="00DE11FF"/>
    <w:rsid w:val="00DE161F"/>
    <w:rsid w:val="00DE1732"/>
    <w:rsid w:val="00DE2E45"/>
    <w:rsid w:val="00DE2EBC"/>
    <w:rsid w:val="00DE3271"/>
    <w:rsid w:val="00DE355E"/>
    <w:rsid w:val="00DE3AC6"/>
    <w:rsid w:val="00DE4961"/>
    <w:rsid w:val="00DE4AD9"/>
    <w:rsid w:val="00DE5131"/>
    <w:rsid w:val="00DE5A96"/>
    <w:rsid w:val="00DE5B2B"/>
    <w:rsid w:val="00DE5B9D"/>
    <w:rsid w:val="00DE5E6D"/>
    <w:rsid w:val="00DE5E9B"/>
    <w:rsid w:val="00DE5F72"/>
    <w:rsid w:val="00DE7137"/>
    <w:rsid w:val="00DE7425"/>
    <w:rsid w:val="00DE753F"/>
    <w:rsid w:val="00DE7715"/>
    <w:rsid w:val="00DE7ACA"/>
    <w:rsid w:val="00DF07D5"/>
    <w:rsid w:val="00DF0F38"/>
    <w:rsid w:val="00DF11E7"/>
    <w:rsid w:val="00DF161F"/>
    <w:rsid w:val="00DF1675"/>
    <w:rsid w:val="00DF2427"/>
    <w:rsid w:val="00DF2C40"/>
    <w:rsid w:val="00DF3076"/>
    <w:rsid w:val="00DF3B2E"/>
    <w:rsid w:val="00DF43FB"/>
    <w:rsid w:val="00DF4886"/>
    <w:rsid w:val="00DF4E3C"/>
    <w:rsid w:val="00DF518B"/>
    <w:rsid w:val="00DF53ED"/>
    <w:rsid w:val="00DF55AB"/>
    <w:rsid w:val="00DF59A0"/>
    <w:rsid w:val="00DF59ED"/>
    <w:rsid w:val="00DF6293"/>
    <w:rsid w:val="00DF656B"/>
    <w:rsid w:val="00DF68BA"/>
    <w:rsid w:val="00DF6CCE"/>
    <w:rsid w:val="00DF7575"/>
    <w:rsid w:val="00DF77B3"/>
    <w:rsid w:val="00E006B9"/>
    <w:rsid w:val="00E00B71"/>
    <w:rsid w:val="00E0191E"/>
    <w:rsid w:val="00E01940"/>
    <w:rsid w:val="00E01A13"/>
    <w:rsid w:val="00E01F26"/>
    <w:rsid w:val="00E02183"/>
    <w:rsid w:val="00E023DB"/>
    <w:rsid w:val="00E02728"/>
    <w:rsid w:val="00E02A1D"/>
    <w:rsid w:val="00E02FC9"/>
    <w:rsid w:val="00E03E97"/>
    <w:rsid w:val="00E041A0"/>
    <w:rsid w:val="00E04A3D"/>
    <w:rsid w:val="00E058A5"/>
    <w:rsid w:val="00E059FC"/>
    <w:rsid w:val="00E05DC7"/>
    <w:rsid w:val="00E06D58"/>
    <w:rsid w:val="00E0760F"/>
    <w:rsid w:val="00E07750"/>
    <w:rsid w:val="00E101FA"/>
    <w:rsid w:val="00E10D0A"/>
    <w:rsid w:val="00E112B5"/>
    <w:rsid w:val="00E11C32"/>
    <w:rsid w:val="00E11D5D"/>
    <w:rsid w:val="00E11D86"/>
    <w:rsid w:val="00E11F1C"/>
    <w:rsid w:val="00E1235E"/>
    <w:rsid w:val="00E12DE4"/>
    <w:rsid w:val="00E12F2E"/>
    <w:rsid w:val="00E13344"/>
    <w:rsid w:val="00E134B6"/>
    <w:rsid w:val="00E13A58"/>
    <w:rsid w:val="00E145B4"/>
    <w:rsid w:val="00E1480D"/>
    <w:rsid w:val="00E151A0"/>
    <w:rsid w:val="00E1591B"/>
    <w:rsid w:val="00E15FB1"/>
    <w:rsid w:val="00E17F44"/>
    <w:rsid w:val="00E20542"/>
    <w:rsid w:val="00E20C84"/>
    <w:rsid w:val="00E217EE"/>
    <w:rsid w:val="00E21A35"/>
    <w:rsid w:val="00E22082"/>
    <w:rsid w:val="00E22776"/>
    <w:rsid w:val="00E23861"/>
    <w:rsid w:val="00E23E8C"/>
    <w:rsid w:val="00E241F8"/>
    <w:rsid w:val="00E24CE6"/>
    <w:rsid w:val="00E25034"/>
    <w:rsid w:val="00E254CF"/>
    <w:rsid w:val="00E259D2"/>
    <w:rsid w:val="00E25DD6"/>
    <w:rsid w:val="00E265BD"/>
    <w:rsid w:val="00E271F4"/>
    <w:rsid w:val="00E27492"/>
    <w:rsid w:val="00E275C9"/>
    <w:rsid w:val="00E27A22"/>
    <w:rsid w:val="00E30451"/>
    <w:rsid w:val="00E3094C"/>
    <w:rsid w:val="00E30A7D"/>
    <w:rsid w:val="00E30E53"/>
    <w:rsid w:val="00E31865"/>
    <w:rsid w:val="00E31A44"/>
    <w:rsid w:val="00E31A94"/>
    <w:rsid w:val="00E31ADB"/>
    <w:rsid w:val="00E32357"/>
    <w:rsid w:val="00E3260C"/>
    <w:rsid w:val="00E32D71"/>
    <w:rsid w:val="00E33576"/>
    <w:rsid w:val="00E34775"/>
    <w:rsid w:val="00E34E5C"/>
    <w:rsid w:val="00E35778"/>
    <w:rsid w:val="00E35843"/>
    <w:rsid w:val="00E35A95"/>
    <w:rsid w:val="00E35BB4"/>
    <w:rsid w:val="00E35FF4"/>
    <w:rsid w:val="00E362F3"/>
    <w:rsid w:val="00E36517"/>
    <w:rsid w:val="00E3716C"/>
    <w:rsid w:val="00E3735C"/>
    <w:rsid w:val="00E378F8"/>
    <w:rsid w:val="00E37C42"/>
    <w:rsid w:val="00E40F55"/>
    <w:rsid w:val="00E41D1A"/>
    <w:rsid w:val="00E41D65"/>
    <w:rsid w:val="00E41DCE"/>
    <w:rsid w:val="00E42963"/>
    <w:rsid w:val="00E42A35"/>
    <w:rsid w:val="00E43A3B"/>
    <w:rsid w:val="00E43D61"/>
    <w:rsid w:val="00E44495"/>
    <w:rsid w:val="00E44D43"/>
    <w:rsid w:val="00E451FF"/>
    <w:rsid w:val="00E455DB"/>
    <w:rsid w:val="00E46785"/>
    <w:rsid w:val="00E46D0A"/>
    <w:rsid w:val="00E46D45"/>
    <w:rsid w:val="00E46DFB"/>
    <w:rsid w:val="00E46EB9"/>
    <w:rsid w:val="00E47265"/>
    <w:rsid w:val="00E479B6"/>
    <w:rsid w:val="00E47C6C"/>
    <w:rsid w:val="00E47C74"/>
    <w:rsid w:val="00E47D8F"/>
    <w:rsid w:val="00E50407"/>
    <w:rsid w:val="00E50D62"/>
    <w:rsid w:val="00E50EBA"/>
    <w:rsid w:val="00E517F8"/>
    <w:rsid w:val="00E520F6"/>
    <w:rsid w:val="00E5300D"/>
    <w:rsid w:val="00E53362"/>
    <w:rsid w:val="00E53653"/>
    <w:rsid w:val="00E53A3A"/>
    <w:rsid w:val="00E5431C"/>
    <w:rsid w:val="00E5466D"/>
    <w:rsid w:val="00E546AD"/>
    <w:rsid w:val="00E54786"/>
    <w:rsid w:val="00E54AEF"/>
    <w:rsid w:val="00E54C70"/>
    <w:rsid w:val="00E55182"/>
    <w:rsid w:val="00E56AE9"/>
    <w:rsid w:val="00E56F3C"/>
    <w:rsid w:val="00E570B8"/>
    <w:rsid w:val="00E57A7A"/>
    <w:rsid w:val="00E57B9B"/>
    <w:rsid w:val="00E57C5F"/>
    <w:rsid w:val="00E57FE0"/>
    <w:rsid w:val="00E600B9"/>
    <w:rsid w:val="00E60403"/>
    <w:rsid w:val="00E6060F"/>
    <w:rsid w:val="00E61366"/>
    <w:rsid w:val="00E61495"/>
    <w:rsid w:val="00E61719"/>
    <w:rsid w:val="00E61F7C"/>
    <w:rsid w:val="00E62C28"/>
    <w:rsid w:val="00E63612"/>
    <w:rsid w:val="00E63719"/>
    <w:rsid w:val="00E63981"/>
    <w:rsid w:val="00E64054"/>
    <w:rsid w:val="00E65244"/>
    <w:rsid w:val="00E661E5"/>
    <w:rsid w:val="00E6623D"/>
    <w:rsid w:val="00E6628C"/>
    <w:rsid w:val="00E6638C"/>
    <w:rsid w:val="00E66646"/>
    <w:rsid w:val="00E670C8"/>
    <w:rsid w:val="00E67458"/>
    <w:rsid w:val="00E674B6"/>
    <w:rsid w:val="00E67583"/>
    <w:rsid w:val="00E67AA1"/>
    <w:rsid w:val="00E67F96"/>
    <w:rsid w:val="00E705D9"/>
    <w:rsid w:val="00E70961"/>
    <w:rsid w:val="00E70C60"/>
    <w:rsid w:val="00E718B2"/>
    <w:rsid w:val="00E718C2"/>
    <w:rsid w:val="00E718D6"/>
    <w:rsid w:val="00E71FC1"/>
    <w:rsid w:val="00E72447"/>
    <w:rsid w:val="00E758DB"/>
    <w:rsid w:val="00E75FCC"/>
    <w:rsid w:val="00E76036"/>
    <w:rsid w:val="00E763BE"/>
    <w:rsid w:val="00E764E0"/>
    <w:rsid w:val="00E766A8"/>
    <w:rsid w:val="00E76971"/>
    <w:rsid w:val="00E76AE2"/>
    <w:rsid w:val="00E77161"/>
    <w:rsid w:val="00E7744C"/>
    <w:rsid w:val="00E801A5"/>
    <w:rsid w:val="00E80377"/>
    <w:rsid w:val="00E806E7"/>
    <w:rsid w:val="00E807D6"/>
    <w:rsid w:val="00E81758"/>
    <w:rsid w:val="00E82182"/>
    <w:rsid w:val="00E82468"/>
    <w:rsid w:val="00E829B9"/>
    <w:rsid w:val="00E82AD3"/>
    <w:rsid w:val="00E83900"/>
    <w:rsid w:val="00E83A27"/>
    <w:rsid w:val="00E84092"/>
    <w:rsid w:val="00E840C9"/>
    <w:rsid w:val="00E84944"/>
    <w:rsid w:val="00E84FB6"/>
    <w:rsid w:val="00E854AA"/>
    <w:rsid w:val="00E85760"/>
    <w:rsid w:val="00E85817"/>
    <w:rsid w:val="00E85F91"/>
    <w:rsid w:val="00E869B7"/>
    <w:rsid w:val="00E86EBE"/>
    <w:rsid w:val="00E8782E"/>
    <w:rsid w:val="00E879EF"/>
    <w:rsid w:val="00E87E14"/>
    <w:rsid w:val="00E87FC6"/>
    <w:rsid w:val="00E90072"/>
    <w:rsid w:val="00E90A3A"/>
    <w:rsid w:val="00E90C1E"/>
    <w:rsid w:val="00E90F9F"/>
    <w:rsid w:val="00E911B0"/>
    <w:rsid w:val="00E91B6E"/>
    <w:rsid w:val="00E91C92"/>
    <w:rsid w:val="00E91D53"/>
    <w:rsid w:val="00E92461"/>
    <w:rsid w:val="00E92C76"/>
    <w:rsid w:val="00E92E52"/>
    <w:rsid w:val="00E930DB"/>
    <w:rsid w:val="00E9334D"/>
    <w:rsid w:val="00E93FCB"/>
    <w:rsid w:val="00E959E4"/>
    <w:rsid w:val="00E95A4A"/>
    <w:rsid w:val="00E96051"/>
    <w:rsid w:val="00E9618C"/>
    <w:rsid w:val="00E9689B"/>
    <w:rsid w:val="00E968C8"/>
    <w:rsid w:val="00E96B92"/>
    <w:rsid w:val="00E96D1A"/>
    <w:rsid w:val="00E9740B"/>
    <w:rsid w:val="00E976AB"/>
    <w:rsid w:val="00E977BE"/>
    <w:rsid w:val="00E97BC9"/>
    <w:rsid w:val="00E97F94"/>
    <w:rsid w:val="00EA00C1"/>
    <w:rsid w:val="00EA038E"/>
    <w:rsid w:val="00EA0761"/>
    <w:rsid w:val="00EA0B48"/>
    <w:rsid w:val="00EA0D63"/>
    <w:rsid w:val="00EA106A"/>
    <w:rsid w:val="00EA18D5"/>
    <w:rsid w:val="00EA25BF"/>
    <w:rsid w:val="00EA26DE"/>
    <w:rsid w:val="00EA2B8A"/>
    <w:rsid w:val="00EA3111"/>
    <w:rsid w:val="00EA3793"/>
    <w:rsid w:val="00EA3A01"/>
    <w:rsid w:val="00EA46B4"/>
    <w:rsid w:val="00EA48D3"/>
    <w:rsid w:val="00EA5324"/>
    <w:rsid w:val="00EA5E04"/>
    <w:rsid w:val="00EA61D4"/>
    <w:rsid w:val="00EA664C"/>
    <w:rsid w:val="00EA6741"/>
    <w:rsid w:val="00EA76D4"/>
    <w:rsid w:val="00EA7D5D"/>
    <w:rsid w:val="00EB0401"/>
    <w:rsid w:val="00EB1560"/>
    <w:rsid w:val="00EB169F"/>
    <w:rsid w:val="00EB2425"/>
    <w:rsid w:val="00EB27EC"/>
    <w:rsid w:val="00EB2E6E"/>
    <w:rsid w:val="00EB2E97"/>
    <w:rsid w:val="00EB374B"/>
    <w:rsid w:val="00EB3AF1"/>
    <w:rsid w:val="00EB40C5"/>
    <w:rsid w:val="00EB4314"/>
    <w:rsid w:val="00EB4E3F"/>
    <w:rsid w:val="00EB4F33"/>
    <w:rsid w:val="00EB5326"/>
    <w:rsid w:val="00EB5455"/>
    <w:rsid w:val="00EB58E6"/>
    <w:rsid w:val="00EB5917"/>
    <w:rsid w:val="00EB60FD"/>
    <w:rsid w:val="00EB6156"/>
    <w:rsid w:val="00EB670E"/>
    <w:rsid w:val="00EB6AE0"/>
    <w:rsid w:val="00EB6B44"/>
    <w:rsid w:val="00EB6CF2"/>
    <w:rsid w:val="00EB6E58"/>
    <w:rsid w:val="00EB730B"/>
    <w:rsid w:val="00EB773D"/>
    <w:rsid w:val="00EC00B4"/>
    <w:rsid w:val="00EC04ED"/>
    <w:rsid w:val="00EC0BBC"/>
    <w:rsid w:val="00EC0DAE"/>
    <w:rsid w:val="00EC0F8C"/>
    <w:rsid w:val="00EC1ABC"/>
    <w:rsid w:val="00EC20F6"/>
    <w:rsid w:val="00EC22E1"/>
    <w:rsid w:val="00EC259C"/>
    <w:rsid w:val="00EC26A4"/>
    <w:rsid w:val="00EC2742"/>
    <w:rsid w:val="00EC2A85"/>
    <w:rsid w:val="00EC2AE3"/>
    <w:rsid w:val="00EC2D25"/>
    <w:rsid w:val="00EC3A60"/>
    <w:rsid w:val="00EC3FA0"/>
    <w:rsid w:val="00EC4542"/>
    <w:rsid w:val="00EC4F74"/>
    <w:rsid w:val="00EC5B46"/>
    <w:rsid w:val="00EC69AD"/>
    <w:rsid w:val="00EC6D54"/>
    <w:rsid w:val="00EC6E7F"/>
    <w:rsid w:val="00EC78FE"/>
    <w:rsid w:val="00EC7BA0"/>
    <w:rsid w:val="00ED0249"/>
    <w:rsid w:val="00ED086C"/>
    <w:rsid w:val="00ED0A8A"/>
    <w:rsid w:val="00ED184D"/>
    <w:rsid w:val="00ED1892"/>
    <w:rsid w:val="00ED1CD8"/>
    <w:rsid w:val="00ED1FC9"/>
    <w:rsid w:val="00ED28F9"/>
    <w:rsid w:val="00ED32C5"/>
    <w:rsid w:val="00ED33A3"/>
    <w:rsid w:val="00ED39A7"/>
    <w:rsid w:val="00ED4568"/>
    <w:rsid w:val="00ED466B"/>
    <w:rsid w:val="00ED483F"/>
    <w:rsid w:val="00ED4F96"/>
    <w:rsid w:val="00ED4FA3"/>
    <w:rsid w:val="00ED75A5"/>
    <w:rsid w:val="00ED78B3"/>
    <w:rsid w:val="00EE01BC"/>
    <w:rsid w:val="00EE03E3"/>
    <w:rsid w:val="00EE05CE"/>
    <w:rsid w:val="00EE06B4"/>
    <w:rsid w:val="00EE06F3"/>
    <w:rsid w:val="00EE0EDB"/>
    <w:rsid w:val="00EE0F64"/>
    <w:rsid w:val="00EE189B"/>
    <w:rsid w:val="00EE1C05"/>
    <w:rsid w:val="00EE1E33"/>
    <w:rsid w:val="00EE312D"/>
    <w:rsid w:val="00EE3651"/>
    <w:rsid w:val="00EE3E41"/>
    <w:rsid w:val="00EE449B"/>
    <w:rsid w:val="00EE4AE7"/>
    <w:rsid w:val="00EE4B21"/>
    <w:rsid w:val="00EE4EC4"/>
    <w:rsid w:val="00EE4F0B"/>
    <w:rsid w:val="00EE5647"/>
    <w:rsid w:val="00EE56F5"/>
    <w:rsid w:val="00EE5863"/>
    <w:rsid w:val="00EE6173"/>
    <w:rsid w:val="00EE6BF8"/>
    <w:rsid w:val="00EE6CFC"/>
    <w:rsid w:val="00EE6F48"/>
    <w:rsid w:val="00EE7136"/>
    <w:rsid w:val="00EE7B63"/>
    <w:rsid w:val="00EE7DFD"/>
    <w:rsid w:val="00EF0768"/>
    <w:rsid w:val="00EF0897"/>
    <w:rsid w:val="00EF134D"/>
    <w:rsid w:val="00EF1437"/>
    <w:rsid w:val="00EF16FA"/>
    <w:rsid w:val="00EF16FC"/>
    <w:rsid w:val="00EF20DC"/>
    <w:rsid w:val="00EF236E"/>
    <w:rsid w:val="00EF2D2E"/>
    <w:rsid w:val="00EF2F0B"/>
    <w:rsid w:val="00EF3012"/>
    <w:rsid w:val="00EF3305"/>
    <w:rsid w:val="00EF333A"/>
    <w:rsid w:val="00EF3405"/>
    <w:rsid w:val="00EF3548"/>
    <w:rsid w:val="00EF4284"/>
    <w:rsid w:val="00EF443F"/>
    <w:rsid w:val="00EF4674"/>
    <w:rsid w:val="00EF4D09"/>
    <w:rsid w:val="00EF58FA"/>
    <w:rsid w:val="00EF5CA5"/>
    <w:rsid w:val="00EF6230"/>
    <w:rsid w:val="00EF653F"/>
    <w:rsid w:val="00EF66E3"/>
    <w:rsid w:val="00EF6922"/>
    <w:rsid w:val="00EF6977"/>
    <w:rsid w:val="00EF6A7F"/>
    <w:rsid w:val="00EF6D04"/>
    <w:rsid w:val="00EF73D8"/>
    <w:rsid w:val="00EF7626"/>
    <w:rsid w:val="00EF79C0"/>
    <w:rsid w:val="00EF7EF4"/>
    <w:rsid w:val="00EF7FE2"/>
    <w:rsid w:val="00F00345"/>
    <w:rsid w:val="00F007AC"/>
    <w:rsid w:val="00F00B7C"/>
    <w:rsid w:val="00F00ED5"/>
    <w:rsid w:val="00F00FE9"/>
    <w:rsid w:val="00F011DE"/>
    <w:rsid w:val="00F017BD"/>
    <w:rsid w:val="00F01941"/>
    <w:rsid w:val="00F01A1F"/>
    <w:rsid w:val="00F0240A"/>
    <w:rsid w:val="00F0244C"/>
    <w:rsid w:val="00F02AA4"/>
    <w:rsid w:val="00F02F11"/>
    <w:rsid w:val="00F042B2"/>
    <w:rsid w:val="00F0462E"/>
    <w:rsid w:val="00F04901"/>
    <w:rsid w:val="00F05442"/>
    <w:rsid w:val="00F054C9"/>
    <w:rsid w:val="00F06A89"/>
    <w:rsid w:val="00F06C90"/>
    <w:rsid w:val="00F06F39"/>
    <w:rsid w:val="00F0735C"/>
    <w:rsid w:val="00F07FE2"/>
    <w:rsid w:val="00F07FE9"/>
    <w:rsid w:val="00F1093F"/>
    <w:rsid w:val="00F11258"/>
    <w:rsid w:val="00F113F3"/>
    <w:rsid w:val="00F11419"/>
    <w:rsid w:val="00F12789"/>
    <w:rsid w:val="00F127FC"/>
    <w:rsid w:val="00F13F05"/>
    <w:rsid w:val="00F14396"/>
    <w:rsid w:val="00F144C5"/>
    <w:rsid w:val="00F14542"/>
    <w:rsid w:val="00F14667"/>
    <w:rsid w:val="00F1483C"/>
    <w:rsid w:val="00F14BD9"/>
    <w:rsid w:val="00F14C27"/>
    <w:rsid w:val="00F14D83"/>
    <w:rsid w:val="00F15166"/>
    <w:rsid w:val="00F15438"/>
    <w:rsid w:val="00F15D37"/>
    <w:rsid w:val="00F160F2"/>
    <w:rsid w:val="00F1646A"/>
    <w:rsid w:val="00F167B3"/>
    <w:rsid w:val="00F16931"/>
    <w:rsid w:val="00F16D0B"/>
    <w:rsid w:val="00F175E8"/>
    <w:rsid w:val="00F17D5A"/>
    <w:rsid w:val="00F20798"/>
    <w:rsid w:val="00F207FA"/>
    <w:rsid w:val="00F2150D"/>
    <w:rsid w:val="00F21F45"/>
    <w:rsid w:val="00F2213C"/>
    <w:rsid w:val="00F22D97"/>
    <w:rsid w:val="00F22E83"/>
    <w:rsid w:val="00F236F8"/>
    <w:rsid w:val="00F242D4"/>
    <w:rsid w:val="00F25315"/>
    <w:rsid w:val="00F2600B"/>
    <w:rsid w:val="00F26C92"/>
    <w:rsid w:val="00F27213"/>
    <w:rsid w:val="00F27A0B"/>
    <w:rsid w:val="00F27B46"/>
    <w:rsid w:val="00F30095"/>
    <w:rsid w:val="00F30342"/>
    <w:rsid w:val="00F30562"/>
    <w:rsid w:val="00F30716"/>
    <w:rsid w:val="00F310A1"/>
    <w:rsid w:val="00F33D94"/>
    <w:rsid w:val="00F34269"/>
    <w:rsid w:val="00F34ADC"/>
    <w:rsid w:val="00F34F06"/>
    <w:rsid w:val="00F360F8"/>
    <w:rsid w:val="00F36421"/>
    <w:rsid w:val="00F36DA6"/>
    <w:rsid w:val="00F36F51"/>
    <w:rsid w:val="00F376F0"/>
    <w:rsid w:val="00F37AE6"/>
    <w:rsid w:val="00F37EB5"/>
    <w:rsid w:val="00F402B2"/>
    <w:rsid w:val="00F4096C"/>
    <w:rsid w:val="00F40C61"/>
    <w:rsid w:val="00F40C6B"/>
    <w:rsid w:val="00F416B4"/>
    <w:rsid w:val="00F41EE4"/>
    <w:rsid w:val="00F4276E"/>
    <w:rsid w:val="00F42C18"/>
    <w:rsid w:val="00F43259"/>
    <w:rsid w:val="00F4345B"/>
    <w:rsid w:val="00F44563"/>
    <w:rsid w:val="00F44617"/>
    <w:rsid w:val="00F44744"/>
    <w:rsid w:val="00F44A8C"/>
    <w:rsid w:val="00F45095"/>
    <w:rsid w:val="00F4592B"/>
    <w:rsid w:val="00F45DB6"/>
    <w:rsid w:val="00F47147"/>
    <w:rsid w:val="00F47164"/>
    <w:rsid w:val="00F47352"/>
    <w:rsid w:val="00F47703"/>
    <w:rsid w:val="00F4777B"/>
    <w:rsid w:val="00F47ABC"/>
    <w:rsid w:val="00F47D47"/>
    <w:rsid w:val="00F47F10"/>
    <w:rsid w:val="00F507DF"/>
    <w:rsid w:val="00F50AD5"/>
    <w:rsid w:val="00F50B8B"/>
    <w:rsid w:val="00F518A8"/>
    <w:rsid w:val="00F525F7"/>
    <w:rsid w:val="00F52ADB"/>
    <w:rsid w:val="00F52DFA"/>
    <w:rsid w:val="00F52E68"/>
    <w:rsid w:val="00F530AE"/>
    <w:rsid w:val="00F53363"/>
    <w:rsid w:val="00F53983"/>
    <w:rsid w:val="00F539CD"/>
    <w:rsid w:val="00F53A71"/>
    <w:rsid w:val="00F53E51"/>
    <w:rsid w:val="00F55245"/>
    <w:rsid w:val="00F55A77"/>
    <w:rsid w:val="00F55CE9"/>
    <w:rsid w:val="00F55D5C"/>
    <w:rsid w:val="00F56929"/>
    <w:rsid w:val="00F56A33"/>
    <w:rsid w:val="00F56DC5"/>
    <w:rsid w:val="00F56E7D"/>
    <w:rsid w:val="00F5784D"/>
    <w:rsid w:val="00F60499"/>
    <w:rsid w:val="00F60553"/>
    <w:rsid w:val="00F609BF"/>
    <w:rsid w:val="00F61520"/>
    <w:rsid w:val="00F617B1"/>
    <w:rsid w:val="00F61922"/>
    <w:rsid w:val="00F61C4D"/>
    <w:rsid w:val="00F62118"/>
    <w:rsid w:val="00F626F0"/>
    <w:rsid w:val="00F62717"/>
    <w:rsid w:val="00F62A97"/>
    <w:rsid w:val="00F62AC7"/>
    <w:rsid w:val="00F6391C"/>
    <w:rsid w:val="00F639C4"/>
    <w:rsid w:val="00F6423B"/>
    <w:rsid w:val="00F642F4"/>
    <w:rsid w:val="00F64449"/>
    <w:rsid w:val="00F64C18"/>
    <w:rsid w:val="00F64F46"/>
    <w:rsid w:val="00F65F0F"/>
    <w:rsid w:val="00F66108"/>
    <w:rsid w:val="00F664DC"/>
    <w:rsid w:val="00F665B0"/>
    <w:rsid w:val="00F66D20"/>
    <w:rsid w:val="00F67979"/>
    <w:rsid w:val="00F67E75"/>
    <w:rsid w:val="00F700B9"/>
    <w:rsid w:val="00F70861"/>
    <w:rsid w:val="00F70E99"/>
    <w:rsid w:val="00F71248"/>
    <w:rsid w:val="00F7136B"/>
    <w:rsid w:val="00F71374"/>
    <w:rsid w:val="00F7193E"/>
    <w:rsid w:val="00F71E4C"/>
    <w:rsid w:val="00F721D0"/>
    <w:rsid w:val="00F72BCB"/>
    <w:rsid w:val="00F7382C"/>
    <w:rsid w:val="00F74A7B"/>
    <w:rsid w:val="00F74C9E"/>
    <w:rsid w:val="00F75304"/>
    <w:rsid w:val="00F75E9B"/>
    <w:rsid w:val="00F75FF7"/>
    <w:rsid w:val="00F7685E"/>
    <w:rsid w:val="00F773AF"/>
    <w:rsid w:val="00F775A3"/>
    <w:rsid w:val="00F80355"/>
    <w:rsid w:val="00F8042A"/>
    <w:rsid w:val="00F8068A"/>
    <w:rsid w:val="00F80791"/>
    <w:rsid w:val="00F80A26"/>
    <w:rsid w:val="00F80CEE"/>
    <w:rsid w:val="00F80E39"/>
    <w:rsid w:val="00F80EC5"/>
    <w:rsid w:val="00F80F3A"/>
    <w:rsid w:val="00F8137D"/>
    <w:rsid w:val="00F815F8"/>
    <w:rsid w:val="00F8322C"/>
    <w:rsid w:val="00F837E2"/>
    <w:rsid w:val="00F83A81"/>
    <w:rsid w:val="00F83BC5"/>
    <w:rsid w:val="00F84191"/>
    <w:rsid w:val="00F84FFC"/>
    <w:rsid w:val="00F85774"/>
    <w:rsid w:val="00F85C2D"/>
    <w:rsid w:val="00F860B7"/>
    <w:rsid w:val="00F870B9"/>
    <w:rsid w:val="00F87194"/>
    <w:rsid w:val="00F872D8"/>
    <w:rsid w:val="00F87408"/>
    <w:rsid w:val="00F87690"/>
    <w:rsid w:val="00F90361"/>
    <w:rsid w:val="00F90374"/>
    <w:rsid w:val="00F904CA"/>
    <w:rsid w:val="00F909AF"/>
    <w:rsid w:val="00F90C4B"/>
    <w:rsid w:val="00F916B3"/>
    <w:rsid w:val="00F91890"/>
    <w:rsid w:val="00F91A4D"/>
    <w:rsid w:val="00F921A2"/>
    <w:rsid w:val="00F921DB"/>
    <w:rsid w:val="00F9257E"/>
    <w:rsid w:val="00F926C9"/>
    <w:rsid w:val="00F92C64"/>
    <w:rsid w:val="00F93993"/>
    <w:rsid w:val="00F93BBF"/>
    <w:rsid w:val="00F9409C"/>
    <w:rsid w:val="00F94415"/>
    <w:rsid w:val="00F94CF7"/>
    <w:rsid w:val="00F95449"/>
    <w:rsid w:val="00F9558B"/>
    <w:rsid w:val="00F95896"/>
    <w:rsid w:val="00F96490"/>
    <w:rsid w:val="00F96571"/>
    <w:rsid w:val="00F96EFC"/>
    <w:rsid w:val="00F979C8"/>
    <w:rsid w:val="00FA0114"/>
    <w:rsid w:val="00FA01EE"/>
    <w:rsid w:val="00FA0241"/>
    <w:rsid w:val="00FA0263"/>
    <w:rsid w:val="00FA0898"/>
    <w:rsid w:val="00FA09B4"/>
    <w:rsid w:val="00FA0F5F"/>
    <w:rsid w:val="00FA0F62"/>
    <w:rsid w:val="00FA2D14"/>
    <w:rsid w:val="00FA2EDA"/>
    <w:rsid w:val="00FA36DF"/>
    <w:rsid w:val="00FA4D0C"/>
    <w:rsid w:val="00FA56BB"/>
    <w:rsid w:val="00FA58EE"/>
    <w:rsid w:val="00FA59FF"/>
    <w:rsid w:val="00FA65B2"/>
    <w:rsid w:val="00FB0918"/>
    <w:rsid w:val="00FB1440"/>
    <w:rsid w:val="00FB1D40"/>
    <w:rsid w:val="00FB1D85"/>
    <w:rsid w:val="00FB244C"/>
    <w:rsid w:val="00FB2EC0"/>
    <w:rsid w:val="00FB2FE6"/>
    <w:rsid w:val="00FB3ED1"/>
    <w:rsid w:val="00FB4506"/>
    <w:rsid w:val="00FB47E0"/>
    <w:rsid w:val="00FB4D10"/>
    <w:rsid w:val="00FB4E5C"/>
    <w:rsid w:val="00FB4E64"/>
    <w:rsid w:val="00FB5D82"/>
    <w:rsid w:val="00FB73EA"/>
    <w:rsid w:val="00FB7EAB"/>
    <w:rsid w:val="00FC01C9"/>
    <w:rsid w:val="00FC02A0"/>
    <w:rsid w:val="00FC08C3"/>
    <w:rsid w:val="00FC0BDA"/>
    <w:rsid w:val="00FC12E1"/>
    <w:rsid w:val="00FC1328"/>
    <w:rsid w:val="00FC18DD"/>
    <w:rsid w:val="00FC1F11"/>
    <w:rsid w:val="00FC2804"/>
    <w:rsid w:val="00FC3651"/>
    <w:rsid w:val="00FC384D"/>
    <w:rsid w:val="00FC38BA"/>
    <w:rsid w:val="00FC42FF"/>
    <w:rsid w:val="00FC49C7"/>
    <w:rsid w:val="00FC50F1"/>
    <w:rsid w:val="00FC516C"/>
    <w:rsid w:val="00FC5A3A"/>
    <w:rsid w:val="00FC5BE9"/>
    <w:rsid w:val="00FC60FA"/>
    <w:rsid w:val="00FC659E"/>
    <w:rsid w:val="00FC65C1"/>
    <w:rsid w:val="00FC6643"/>
    <w:rsid w:val="00FC6877"/>
    <w:rsid w:val="00FC68B1"/>
    <w:rsid w:val="00FC6B48"/>
    <w:rsid w:val="00FC7205"/>
    <w:rsid w:val="00FC77D7"/>
    <w:rsid w:val="00FC78F0"/>
    <w:rsid w:val="00FD08FC"/>
    <w:rsid w:val="00FD0C14"/>
    <w:rsid w:val="00FD0CC6"/>
    <w:rsid w:val="00FD199A"/>
    <w:rsid w:val="00FD22D7"/>
    <w:rsid w:val="00FD28CD"/>
    <w:rsid w:val="00FD2BC9"/>
    <w:rsid w:val="00FD4F44"/>
    <w:rsid w:val="00FD56AF"/>
    <w:rsid w:val="00FD5D7D"/>
    <w:rsid w:val="00FD64DE"/>
    <w:rsid w:val="00FD6809"/>
    <w:rsid w:val="00FD6D06"/>
    <w:rsid w:val="00FD7D5B"/>
    <w:rsid w:val="00FE00A5"/>
    <w:rsid w:val="00FE0720"/>
    <w:rsid w:val="00FE0CE8"/>
    <w:rsid w:val="00FE0F13"/>
    <w:rsid w:val="00FE1056"/>
    <w:rsid w:val="00FE1694"/>
    <w:rsid w:val="00FE1CE9"/>
    <w:rsid w:val="00FE2385"/>
    <w:rsid w:val="00FE2EB6"/>
    <w:rsid w:val="00FE356B"/>
    <w:rsid w:val="00FE3A03"/>
    <w:rsid w:val="00FE4BBB"/>
    <w:rsid w:val="00FE54FC"/>
    <w:rsid w:val="00FE5F41"/>
    <w:rsid w:val="00FE655E"/>
    <w:rsid w:val="00FE668D"/>
    <w:rsid w:val="00FE695A"/>
    <w:rsid w:val="00FE6CA4"/>
    <w:rsid w:val="00FE77C9"/>
    <w:rsid w:val="00FE792C"/>
    <w:rsid w:val="00FE7C5A"/>
    <w:rsid w:val="00FF066A"/>
    <w:rsid w:val="00FF095F"/>
    <w:rsid w:val="00FF09B9"/>
    <w:rsid w:val="00FF137D"/>
    <w:rsid w:val="00FF14E2"/>
    <w:rsid w:val="00FF15D3"/>
    <w:rsid w:val="00FF1B36"/>
    <w:rsid w:val="00FF1C7C"/>
    <w:rsid w:val="00FF3C31"/>
    <w:rsid w:val="00FF47AD"/>
    <w:rsid w:val="00FF52BC"/>
    <w:rsid w:val="00FF585D"/>
    <w:rsid w:val="00FF5860"/>
    <w:rsid w:val="00FF5B5F"/>
    <w:rsid w:val="00FF5FDB"/>
    <w:rsid w:val="00FF6056"/>
    <w:rsid w:val="00FF6179"/>
    <w:rsid w:val="00FF63E1"/>
    <w:rsid w:val="00FF6AA1"/>
    <w:rsid w:val="00FF6F0A"/>
    <w:rsid w:val="00FF6F65"/>
    <w:rsid w:val="00FF773C"/>
    <w:rsid w:val="00FF7A04"/>
    <w:rsid w:val="00FF7F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61"/>
    <o:shapelayout v:ext="edit">
      <o:idmap v:ext="edit" data="1"/>
    </o:shapelayout>
  </w:shapeDefaults>
  <w:decimalSymbol w:val="."/>
  <w:listSeparator w:val=","/>
  <w14:docId w14:val="3481B35C"/>
  <w15:docId w15:val="{A165FEE8-CD11-4756-8462-6E0AA9894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566E"/>
    <w:pPr>
      <w:spacing w:after="200" w:line="276" w:lineRule="auto"/>
    </w:pPr>
    <w:rPr>
      <w:sz w:val="22"/>
      <w:szCs w:val="22"/>
      <w:lang w:val="en-US" w:eastAsia="en-US"/>
    </w:rPr>
  </w:style>
  <w:style w:type="paragraph" w:styleId="Heading1">
    <w:name w:val="heading 1"/>
    <w:basedOn w:val="Normal"/>
    <w:next w:val="Normal"/>
    <w:link w:val="Heading1Char"/>
    <w:qFormat/>
    <w:rsid w:val="004D3E6F"/>
    <w:pPr>
      <w:keepNext/>
      <w:tabs>
        <w:tab w:val="left" w:pos="567"/>
        <w:tab w:val="left" w:pos="5529"/>
      </w:tabs>
      <w:spacing w:after="0" w:line="240" w:lineRule="auto"/>
      <w:ind w:right="-334"/>
      <w:jc w:val="both"/>
      <w:outlineLvl w:val="0"/>
    </w:pPr>
    <w:rPr>
      <w:rFonts w:ascii="Arial" w:eastAsia="Times New Roman" w:hAnsi="Arial"/>
      <w:b/>
      <w:sz w:val="20"/>
      <w:szCs w:val="20"/>
    </w:rPr>
  </w:style>
  <w:style w:type="paragraph" w:styleId="Heading2">
    <w:name w:val="heading 2"/>
    <w:basedOn w:val="Normal"/>
    <w:next w:val="Normal"/>
    <w:link w:val="Heading2Char"/>
    <w:qFormat/>
    <w:rsid w:val="004D3E6F"/>
    <w:pPr>
      <w:keepNext/>
      <w:tabs>
        <w:tab w:val="left" w:pos="5529"/>
      </w:tabs>
      <w:spacing w:after="0" w:line="240" w:lineRule="auto"/>
      <w:ind w:right="-465"/>
      <w:outlineLvl w:val="1"/>
    </w:pPr>
    <w:rPr>
      <w:rFonts w:ascii="Arial" w:eastAsia="Times New Roman" w:hAnsi="Arial"/>
      <w:b/>
      <w:sz w:val="20"/>
      <w:szCs w:val="20"/>
    </w:rPr>
  </w:style>
  <w:style w:type="paragraph" w:styleId="Heading7">
    <w:name w:val="heading 7"/>
    <w:basedOn w:val="Normal"/>
    <w:next w:val="Normal"/>
    <w:link w:val="Heading7Char"/>
    <w:uiPriority w:val="9"/>
    <w:unhideWhenUsed/>
    <w:qFormat/>
    <w:rsid w:val="00F5784D"/>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3E6F"/>
    <w:rPr>
      <w:rFonts w:ascii="Arial" w:eastAsia="Times New Roman" w:hAnsi="Arial"/>
      <w:b/>
    </w:rPr>
  </w:style>
  <w:style w:type="character" w:customStyle="1" w:styleId="Heading2Char">
    <w:name w:val="Heading 2 Char"/>
    <w:basedOn w:val="DefaultParagraphFont"/>
    <w:link w:val="Heading2"/>
    <w:rsid w:val="004D3E6F"/>
    <w:rPr>
      <w:rFonts w:ascii="Arial" w:eastAsia="Times New Roman" w:hAnsi="Arial"/>
      <w:b/>
    </w:rPr>
  </w:style>
  <w:style w:type="paragraph" w:styleId="BodyText2">
    <w:name w:val="Body Text 2"/>
    <w:basedOn w:val="Normal"/>
    <w:link w:val="BodyText2Char"/>
    <w:semiHidden/>
    <w:rsid w:val="004D3E6F"/>
    <w:pPr>
      <w:spacing w:after="0" w:line="240" w:lineRule="auto"/>
      <w:jc w:val="both"/>
    </w:pPr>
    <w:rPr>
      <w:rFonts w:ascii="Arial" w:eastAsia="Times New Roman" w:hAnsi="Arial"/>
      <w:snapToGrid w:val="0"/>
      <w:sz w:val="20"/>
      <w:szCs w:val="20"/>
    </w:rPr>
  </w:style>
  <w:style w:type="character" w:customStyle="1" w:styleId="BodyText2Char">
    <w:name w:val="Body Text 2 Char"/>
    <w:basedOn w:val="DefaultParagraphFont"/>
    <w:link w:val="BodyText2"/>
    <w:semiHidden/>
    <w:rsid w:val="004D3E6F"/>
    <w:rPr>
      <w:rFonts w:ascii="Arial" w:eastAsia="Times New Roman" w:hAnsi="Arial"/>
      <w:snapToGrid w:val="0"/>
    </w:rPr>
  </w:style>
  <w:style w:type="paragraph" w:styleId="BodyText">
    <w:name w:val="Body Text"/>
    <w:basedOn w:val="Normal"/>
    <w:link w:val="BodyTextChar"/>
    <w:uiPriority w:val="99"/>
    <w:unhideWhenUsed/>
    <w:rsid w:val="0031447C"/>
    <w:pPr>
      <w:spacing w:after="120"/>
    </w:pPr>
  </w:style>
  <w:style w:type="character" w:customStyle="1" w:styleId="BodyTextChar">
    <w:name w:val="Body Text Char"/>
    <w:basedOn w:val="DefaultParagraphFont"/>
    <w:link w:val="BodyText"/>
    <w:uiPriority w:val="99"/>
    <w:rsid w:val="0031447C"/>
    <w:rPr>
      <w:sz w:val="22"/>
      <w:szCs w:val="22"/>
    </w:rPr>
  </w:style>
  <w:style w:type="paragraph" w:styleId="BlockText">
    <w:name w:val="Block Text"/>
    <w:basedOn w:val="Normal"/>
    <w:rsid w:val="005F00EF"/>
    <w:pPr>
      <w:spacing w:after="120" w:line="240" w:lineRule="auto"/>
      <w:ind w:left="1440" w:right="1440"/>
    </w:pPr>
    <w:rPr>
      <w:rFonts w:ascii="Courier New" w:eastAsia="Times New Roman" w:hAnsi="Courier New"/>
      <w:sz w:val="20"/>
      <w:szCs w:val="20"/>
      <w:lang w:val="es-ES_tradnl"/>
    </w:rPr>
  </w:style>
  <w:style w:type="table" w:styleId="TableGrid">
    <w:name w:val="Table Grid"/>
    <w:basedOn w:val="TableNormal"/>
    <w:uiPriority w:val="59"/>
    <w:rsid w:val="005F00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4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DCE"/>
    <w:rPr>
      <w:rFonts w:ascii="Tahoma" w:hAnsi="Tahoma" w:cs="Tahoma"/>
      <w:sz w:val="16"/>
      <w:szCs w:val="16"/>
    </w:rPr>
  </w:style>
  <w:style w:type="paragraph" w:styleId="Header">
    <w:name w:val="header"/>
    <w:basedOn w:val="Normal"/>
    <w:link w:val="HeaderChar"/>
    <w:uiPriority w:val="99"/>
    <w:unhideWhenUsed/>
    <w:rsid w:val="009B50F2"/>
    <w:pPr>
      <w:tabs>
        <w:tab w:val="center" w:pos="4419"/>
        <w:tab w:val="right" w:pos="8838"/>
      </w:tabs>
    </w:pPr>
  </w:style>
  <w:style w:type="character" w:customStyle="1" w:styleId="HeaderChar">
    <w:name w:val="Header Char"/>
    <w:basedOn w:val="DefaultParagraphFont"/>
    <w:link w:val="Header"/>
    <w:uiPriority w:val="99"/>
    <w:rsid w:val="009B50F2"/>
    <w:rPr>
      <w:sz w:val="22"/>
      <w:szCs w:val="22"/>
    </w:rPr>
  </w:style>
  <w:style w:type="paragraph" w:styleId="Footer">
    <w:name w:val="footer"/>
    <w:basedOn w:val="Normal"/>
    <w:link w:val="FooterChar"/>
    <w:uiPriority w:val="99"/>
    <w:unhideWhenUsed/>
    <w:rsid w:val="009B50F2"/>
    <w:pPr>
      <w:tabs>
        <w:tab w:val="center" w:pos="4419"/>
        <w:tab w:val="right" w:pos="8838"/>
      </w:tabs>
    </w:pPr>
  </w:style>
  <w:style w:type="character" w:customStyle="1" w:styleId="FooterChar">
    <w:name w:val="Footer Char"/>
    <w:basedOn w:val="DefaultParagraphFont"/>
    <w:link w:val="Footer"/>
    <w:uiPriority w:val="99"/>
    <w:rsid w:val="009B50F2"/>
    <w:rPr>
      <w:sz w:val="22"/>
      <w:szCs w:val="22"/>
    </w:rPr>
  </w:style>
  <w:style w:type="character" w:customStyle="1" w:styleId="Heading7Char">
    <w:name w:val="Heading 7 Char"/>
    <w:basedOn w:val="DefaultParagraphFont"/>
    <w:link w:val="Heading7"/>
    <w:uiPriority w:val="9"/>
    <w:rsid w:val="00F5784D"/>
    <w:rPr>
      <w:rFonts w:ascii="Calibri" w:eastAsia="Times New Roman" w:hAnsi="Calibri" w:cs="Times New Roman"/>
      <w:sz w:val="24"/>
      <w:szCs w:val="24"/>
    </w:rPr>
  </w:style>
  <w:style w:type="paragraph" w:styleId="Subtitle">
    <w:name w:val="Subtitle"/>
    <w:basedOn w:val="Normal"/>
    <w:link w:val="SubtitleChar"/>
    <w:qFormat/>
    <w:rsid w:val="00F5784D"/>
    <w:pPr>
      <w:spacing w:after="60" w:line="240" w:lineRule="auto"/>
      <w:jc w:val="center"/>
      <w:outlineLvl w:val="1"/>
    </w:pPr>
    <w:rPr>
      <w:rFonts w:ascii="Arial" w:eastAsia="Times New Roman" w:hAnsi="Arial" w:cs="Arial"/>
      <w:sz w:val="24"/>
      <w:szCs w:val="24"/>
      <w:lang w:val="es-ES_tradnl"/>
    </w:rPr>
  </w:style>
  <w:style w:type="character" w:customStyle="1" w:styleId="SubtitleChar">
    <w:name w:val="Subtitle Char"/>
    <w:basedOn w:val="DefaultParagraphFont"/>
    <w:link w:val="Subtitle"/>
    <w:rsid w:val="00F5784D"/>
    <w:rPr>
      <w:rFonts w:ascii="Arial" w:eastAsia="Times New Roman" w:hAnsi="Arial" w:cs="Arial"/>
      <w:sz w:val="24"/>
      <w:szCs w:val="24"/>
      <w:lang w:val="es-ES_tradnl"/>
    </w:rPr>
  </w:style>
  <w:style w:type="character" w:styleId="Emphasis">
    <w:name w:val="Emphasis"/>
    <w:basedOn w:val="DefaultParagraphFont"/>
    <w:uiPriority w:val="20"/>
    <w:qFormat/>
    <w:rsid w:val="00F5784D"/>
    <w:rPr>
      <w:i/>
      <w:iCs/>
    </w:rPr>
  </w:style>
  <w:style w:type="paragraph" w:styleId="Index1">
    <w:name w:val="index 1"/>
    <w:basedOn w:val="Normal"/>
    <w:next w:val="Normal"/>
    <w:semiHidden/>
    <w:rsid w:val="00F5784D"/>
    <w:pPr>
      <w:tabs>
        <w:tab w:val="right" w:leader="dot" w:pos="9360"/>
      </w:tabs>
      <w:suppressAutoHyphens/>
      <w:spacing w:after="0" w:line="240" w:lineRule="auto"/>
      <w:ind w:left="1440" w:right="720" w:hanging="1440"/>
    </w:pPr>
    <w:rPr>
      <w:rFonts w:ascii="Courier New" w:eastAsia="Times New Roman" w:hAnsi="Courier New"/>
      <w:sz w:val="20"/>
      <w:szCs w:val="20"/>
    </w:rPr>
  </w:style>
  <w:style w:type="paragraph" w:customStyle="1" w:styleId="EstiloArial11ptNegritaAzuloscuroJustificadoInferiorS1">
    <w:name w:val="Estilo Arial 11 pt Negrita Azul oscuro Justificado Inferior: (S...1"/>
    <w:basedOn w:val="Normal"/>
    <w:link w:val="EstiloArial11ptNegritaAzuloscuroJustificadoInferiorS1Car"/>
    <w:rsid w:val="00405080"/>
    <w:pPr>
      <w:pBdr>
        <w:top w:val="single" w:sz="8" w:space="1" w:color="000080"/>
        <w:left w:val="single" w:sz="8" w:space="4" w:color="000080"/>
        <w:bottom w:val="single" w:sz="8" w:space="1" w:color="000080"/>
        <w:right w:val="single" w:sz="8" w:space="4" w:color="000080"/>
      </w:pBdr>
      <w:shd w:val="clear" w:color="auto" w:fill="000080"/>
      <w:spacing w:after="0" w:line="240" w:lineRule="auto"/>
      <w:jc w:val="both"/>
    </w:pPr>
    <w:rPr>
      <w:rFonts w:ascii="Arial" w:eastAsia="Times New Roman" w:hAnsi="Arial"/>
      <w:b/>
      <w:bCs/>
      <w:color w:val="FFFFFF"/>
      <w:spacing w:val="-3"/>
      <w:szCs w:val="20"/>
      <w:lang w:val="es-ES_tradnl"/>
    </w:rPr>
  </w:style>
  <w:style w:type="character" w:customStyle="1" w:styleId="EstiloArial11ptNegritaAzuloscuroJustificadoInferiorS1Car">
    <w:name w:val="Estilo Arial 11 pt Negrita Azul oscuro Justificado Inferior: (S...1 Car"/>
    <w:basedOn w:val="DefaultParagraphFont"/>
    <w:link w:val="EstiloArial11ptNegritaAzuloscuroJustificadoInferiorS1"/>
    <w:rsid w:val="00405080"/>
    <w:rPr>
      <w:rFonts w:ascii="Arial" w:eastAsia="Times New Roman" w:hAnsi="Arial"/>
      <w:b/>
      <w:bCs/>
      <w:color w:val="FFFFFF"/>
      <w:spacing w:val="-3"/>
      <w:sz w:val="22"/>
      <w:shd w:val="clear" w:color="auto" w:fill="000080"/>
      <w:lang w:val="es-ES_tradnl"/>
    </w:rPr>
  </w:style>
  <w:style w:type="character" w:styleId="Hyperlink">
    <w:name w:val="Hyperlink"/>
    <w:basedOn w:val="DefaultParagraphFont"/>
    <w:uiPriority w:val="99"/>
    <w:rsid w:val="00275B91"/>
    <w:rPr>
      <w:color w:val="0000FF"/>
      <w:u w:val="single"/>
    </w:rPr>
  </w:style>
  <w:style w:type="paragraph" w:styleId="ListParagraph">
    <w:name w:val="List Paragraph"/>
    <w:basedOn w:val="Normal"/>
    <w:link w:val="ListParagraphChar"/>
    <w:uiPriority w:val="34"/>
    <w:qFormat/>
    <w:rsid w:val="004326A8"/>
    <w:pPr>
      <w:ind w:left="720"/>
      <w:contextualSpacing/>
    </w:pPr>
  </w:style>
  <w:style w:type="paragraph" w:styleId="NoSpacing">
    <w:name w:val="No Spacing"/>
    <w:link w:val="NoSpacingChar"/>
    <w:uiPriority w:val="1"/>
    <w:qFormat/>
    <w:rsid w:val="000325A5"/>
    <w:rPr>
      <w:rFonts w:eastAsia="Times New Roman"/>
      <w:sz w:val="22"/>
      <w:szCs w:val="22"/>
      <w:lang w:val="es-ES" w:eastAsia="en-US"/>
    </w:rPr>
  </w:style>
  <w:style w:type="character" w:customStyle="1" w:styleId="NoSpacingChar">
    <w:name w:val="No Spacing Char"/>
    <w:basedOn w:val="DefaultParagraphFont"/>
    <w:link w:val="NoSpacing"/>
    <w:uiPriority w:val="1"/>
    <w:rsid w:val="000325A5"/>
    <w:rPr>
      <w:rFonts w:eastAsia="Times New Roman"/>
      <w:sz w:val="22"/>
      <w:szCs w:val="22"/>
      <w:lang w:val="es-ES" w:eastAsia="en-US" w:bidi="ar-SA"/>
    </w:rPr>
  </w:style>
  <w:style w:type="character" w:customStyle="1" w:styleId="longtext">
    <w:name w:val="long_text"/>
    <w:basedOn w:val="DefaultParagraphFont"/>
    <w:uiPriority w:val="99"/>
    <w:rsid w:val="009F398D"/>
  </w:style>
  <w:style w:type="paragraph" w:styleId="TOCHeading">
    <w:name w:val="TOC Heading"/>
    <w:basedOn w:val="Heading1"/>
    <w:next w:val="Normal"/>
    <w:uiPriority w:val="39"/>
    <w:semiHidden/>
    <w:unhideWhenUsed/>
    <w:qFormat/>
    <w:rsid w:val="00EE189B"/>
    <w:pPr>
      <w:keepLines/>
      <w:tabs>
        <w:tab w:val="clear" w:pos="567"/>
        <w:tab w:val="clear" w:pos="5529"/>
      </w:tabs>
      <w:spacing w:before="480" w:line="276" w:lineRule="auto"/>
      <w:ind w:right="0"/>
      <w:jc w:val="left"/>
      <w:outlineLvl w:val="9"/>
    </w:pPr>
    <w:rPr>
      <w:rFonts w:ascii="Cambria" w:hAnsi="Cambria"/>
      <w:bCs/>
      <w:color w:val="365F91"/>
      <w:sz w:val="28"/>
      <w:szCs w:val="28"/>
      <w:lang w:val="es-ES"/>
    </w:rPr>
  </w:style>
  <w:style w:type="paragraph" w:styleId="TOC2">
    <w:name w:val="toc 2"/>
    <w:basedOn w:val="Normal"/>
    <w:next w:val="Normal"/>
    <w:autoRedefine/>
    <w:uiPriority w:val="39"/>
    <w:unhideWhenUsed/>
    <w:rsid w:val="003111EB"/>
    <w:pPr>
      <w:tabs>
        <w:tab w:val="right" w:leader="dot" w:pos="10206"/>
      </w:tabs>
      <w:spacing w:after="100"/>
      <w:ind w:left="220"/>
    </w:pPr>
    <w:rPr>
      <w:rFonts w:ascii="Arial" w:hAnsi="Arial" w:cs="Arial"/>
      <w:noProof/>
      <w:spacing w:val="-3"/>
      <w:sz w:val="20"/>
      <w:szCs w:val="20"/>
      <w:lang w:val="es-ES"/>
    </w:rPr>
  </w:style>
  <w:style w:type="paragraph" w:styleId="TOC1">
    <w:name w:val="toc 1"/>
    <w:basedOn w:val="Normal"/>
    <w:next w:val="Normal"/>
    <w:autoRedefine/>
    <w:uiPriority w:val="39"/>
    <w:unhideWhenUsed/>
    <w:rsid w:val="000B335A"/>
    <w:pPr>
      <w:tabs>
        <w:tab w:val="right" w:leader="dot" w:pos="10206"/>
      </w:tabs>
      <w:spacing w:after="100"/>
    </w:pPr>
    <w:rPr>
      <w:rFonts w:ascii="Arial" w:hAnsi="Arial" w:cs="Arial"/>
      <w:b/>
      <w:noProof/>
      <w:sz w:val="20"/>
      <w:szCs w:val="20"/>
      <w:lang w:val="es-AR"/>
    </w:rPr>
  </w:style>
  <w:style w:type="paragraph" w:styleId="BodyTextIndent2">
    <w:name w:val="Body Text Indent 2"/>
    <w:basedOn w:val="Normal"/>
    <w:link w:val="BodyTextIndent2Char"/>
    <w:uiPriority w:val="99"/>
    <w:semiHidden/>
    <w:unhideWhenUsed/>
    <w:rsid w:val="0008557F"/>
    <w:pPr>
      <w:spacing w:after="120" w:line="480" w:lineRule="auto"/>
      <w:ind w:left="283"/>
    </w:pPr>
  </w:style>
  <w:style w:type="character" w:customStyle="1" w:styleId="BodyTextIndent2Char">
    <w:name w:val="Body Text Indent 2 Char"/>
    <w:basedOn w:val="DefaultParagraphFont"/>
    <w:link w:val="BodyTextIndent2"/>
    <w:uiPriority w:val="99"/>
    <w:semiHidden/>
    <w:rsid w:val="0008557F"/>
    <w:rPr>
      <w:sz w:val="22"/>
      <w:szCs w:val="22"/>
      <w:lang w:val="en-US" w:eastAsia="en-US"/>
    </w:rPr>
  </w:style>
  <w:style w:type="paragraph" w:customStyle="1" w:styleId="Ttulonota">
    <w:name w:val="Título nota"/>
    <w:basedOn w:val="Normal"/>
    <w:rsid w:val="002E6500"/>
    <w:pPr>
      <w:spacing w:after="0" w:line="240" w:lineRule="auto"/>
      <w:jc w:val="both"/>
    </w:pPr>
    <w:rPr>
      <w:rFonts w:ascii="Book Antiqua" w:eastAsia="Times New Roman" w:hAnsi="Book Antiqua"/>
      <w:b/>
      <w:szCs w:val="20"/>
      <w:lang w:val="es-AR"/>
    </w:rPr>
  </w:style>
  <w:style w:type="paragraph" w:customStyle="1" w:styleId="textonotas">
    <w:name w:val="texto notas"/>
    <w:rsid w:val="00284A0C"/>
    <w:pPr>
      <w:ind w:firstLine="284"/>
      <w:jc w:val="both"/>
    </w:pPr>
    <w:rPr>
      <w:rFonts w:ascii="Book Antiqua" w:eastAsia="Times New Roman" w:hAnsi="Book Antiqua"/>
      <w:lang w:val="es-ES_tradnl" w:eastAsia="en-US"/>
    </w:rPr>
  </w:style>
  <w:style w:type="character" w:styleId="CommentReference">
    <w:name w:val="annotation reference"/>
    <w:basedOn w:val="DefaultParagraphFont"/>
    <w:uiPriority w:val="99"/>
    <w:unhideWhenUsed/>
    <w:rsid w:val="004414AD"/>
    <w:rPr>
      <w:sz w:val="16"/>
      <w:szCs w:val="16"/>
    </w:rPr>
  </w:style>
  <w:style w:type="paragraph" w:styleId="CommentText">
    <w:name w:val="annotation text"/>
    <w:basedOn w:val="Normal"/>
    <w:link w:val="CommentTextChar"/>
    <w:uiPriority w:val="99"/>
    <w:unhideWhenUsed/>
    <w:rsid w:val="004414AD"/>
    <w:rPr>
      <w:sz w:val="20"/>
      <w:szCs w:val="20"/>
    </w:rPr>
  </w:style>
  <w:style w:type="character" w:customStyle="1" w:styleId="CommentTextChar">
    <w:name w:val="Comment Text Char"/>
    <w:basedOn w:val="DefaultParagraphFont"/>
    <w:link w:val="CommentText"/>
    <w:uiPriority w:val="99"/>
    <w:rsid w:val="004414AD"/>
    <w:rPr>
      <w:lang w:val="en-US" w:eastAsia="en-US"/>
    </w:rPr>
  </w:style>
  <w:style w:type="paragraph" w:customStyle="1" w:styleId="NPAGINDENT">
    <w:name w:val="Nº PAG INDENT"/>
    <w:rsid w:val="00372008"/>
    <w:pPr>
      <w:tabs>
        <w:tab w:val="left" w:pos="426"/>
        <w:tab w:val="left" w:pos="8505"/>
      </w:tabs>
      <w:ind w:left="170"/>
      <w:jc w:val="both"/>
    </w:pPr>
    <w:rPr>
      <w:rFonts w:ascii="Book Antiqua" w:eastAsia="Times New Roman" w:hAnsi="Book Antiqua"/>
      <w:lang w:val="en-US" w:eastAsia="en-US"/>
    </w:rPr>
  </w:style>
  <w:style w:type="paragraph" w:customStyle="1" w:styleId="Texto">
    <w:name w:val="Texto"/>
    <w:basedOn w:val="Normal"/>
    <w:rsid w:val="00372008"/>
    <w:pPr>
      <w:spacing w:after="0" w:line="240" w:lineRule="auto"/>
      <w:jc w:val="both"/>
    </w:pPr>
    <w:rPr>
      <w:rFonts w:ascii="Book Antiqua" w:eastAsia="Times New Roman" w:hAnsi="Book Antiqua"/>
      <w:sz w:val="20"/>
      <w:szCs w:val="20"/>
      <w:lang w:val="es-ES_tradnl"/>
    </w:rPr>
  </w:style>
  <w:style w:type="paragraph" w:styleId="CommentSubject">
    <w:name w:val="annotation subject"/>
    <w:basedOn w:val="CommentText"/>
    <w:next w:val="CommentText"/>
    <w:link w:val="CommentSubjectChar"/>
    <w:uiPriority w:val="99"/>
    <w:semiHidden/>
    <w:unhideWhenUsed/>
    <w:rsid w:val="00D04AF1"/>
    <w:pPr>
      <w:spacing w:line="240" w:lineRule="auto"/>
    </w:pPr>
    <w:rPr>
      <w:b/>
      <w:bCs/>
    </w:rPr>
  </w:style>
  <w:style w:type="character" w:customStyle="1" w:styleId="CommentSubjectChar">
    <w:name w:val="Comment Subject Char"/>
    <w:basedOn w:val="CommentTextChar"/>
    <w:link w:val="CommentSubject"/>
    <w:uiPriority w:val="99"/>
    <w:semiHidden/>
    <w:rsid w:val="00D04AF1"/>
    <w:rPr>
      <w:b/>
      <w:bCs/>
      <w:lang w:val="en-US" w:eastAsia="en-US"/>
    </w:rPr>
  </w:style>
  <w:style w:type="paragraph" w:customStyle="1" w:styleId="1">
    <w:name w:val="(1)"/>
    <w:basedOn w:val="Normal"/>
    <w:rsid w:val="002206B0"/>
    <w:pPr>
      <w:tabs>
        <w:tab w:val="left" w:pos="1135"/>
        <w:tab w:val="left" w:pos="1375"/>
      </w:tabs>
      <w:spacing w:after="0" w:line="12" w:lineRule="atLeast"/>
      <w:ind w:left="851" w:hanging="284"/>
      <w:jc w:val="both"/>
    </w:pPr>
    <w:rPr>
      <w:rFonts w:ascii="Book Antiqua" w:eastAsia="Times New Roman" w:hAnsi="Book Antiqua"/>
      <w:sz w:val="16"/>
      <w:szCs w:val="20"/>
      <w:lang w:val="es-AR"/>
    </w:rPr>
  </w:style>
  <w:style w:type="paragraph" w:styleId="EndnoteText">
    <w:name w:val="endnote text"/>
    <w:basedOn w:val="Normal"/>
    <w:link w:val="EndnoteTextChar"/>
    <w:uiPriority w:val="99"/>
    <w:semiHidden/>
    <w:unhideWhenUsed/>
    <w:rsid w:val="006749F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49F4"/>
    <w:rPr>
      <w:lang w:val="en-US" w:eastAsia="en-US"/>
    </w:rPr>
  </w:style>
  <w:style w:type="character" w:styleId="EndnoteReference">
    <w:name w:val="endnote reference"/>
    <w:basedOn w:val="DefaultParagraphFont"/>
    <w:uiPriority w:val="99"/>
    <w:semiHidden/>
    <w:unhideWhenUsed/>
    <w:rsid w:val="006749F4"/>
    <w:rPr>
      <w:vertAlign w:val="superscript"/>
    </w:rPr>
  </w:style>
  <w:style w:type="paragraph" w:styleId="FootnoteText">
    <w:name w:val="footnote text"/>
    <w:basedOn w:val="Normal"/>
    <w:link w:val="FootnoteTextChar"/>
    <w:semiHidden/>
    <w:unhideWhenUsed/>
    <w:rsid w:val="006749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49F4"/>
    <w:rPr>
      <w:lang w:val="en-US" w:eastAsia="en-US"/>
    </w:rPr>
  </w:style>
  <w:style w:type="character" w:styleId="FootnoteReference">
    <w:name w:val="footnote reference"/>
    <w:basedOn w:val="DefaultParagraphFont"/>
    <w:semiHidden/>
    <w:unhideWhenUsed/>
    <w:rsid w:val="006749F4"/>
    <w:rPr>
      <w:vertAlign w:val="superscript"/>
    </w:rPr>
  </w:style>
  <w:style w:type="paragraph" w:styleId="Revision">
    <w:name w:val="Revision"/>
    <w:hidden/>
    <w:uiPriority w:val="99"/>
    <w:semiHidden/>
    <w:rsid w:val="000F5B19"/>
    <w:rPr>
      <w:sz w:val="22"/>
      <w:szCs w:val="22"/>
      <w:lang w:val="en-US" w:eastAsia="en-US"/>
    </w:rPr>
  </w:style>
  <w:style w:type="paragraph" w:styleId="NormalWeb">
    <w:name w:val="Normal (Web)"/>
    <w:basedOn w:val="Normal"/>
    <w:uiPriority w:val="99"/>
    <w:unhideWhenUsed/>
    <w:rsid w:val="00AB426E"/>
    <w:pPr>
      <w:spacing w:after="0" w:line="240" w:lineRule="auto"/>
    </w:pPr>
    <w:rPr>
      <w:rFonts w:ascii="Times New Roman" w:eastAsiaTheme="minorHAnsi" w:hAnsi="Times New Roman"/>
      <w:sz w:val="24"/>
      <w:szCs w:val="24"/>
      <w:lang w:val="es-AR" w:eastAsia="es-AR"/>
    </w:rPr>
  </w:style>
  <w:style w:type="character" w:styleId="Strong">
    <w:name w:val="Strong"/>
    <w:basedOn w:val="DefaultParagraphFont"/>
    <w:uiPriority w:val="22"/>
    <w:qFormat/>
    <w:rsid w:val="00AB426E"/>
    <w:rPr>
      <w:b/>
      <w:bCs/>
    </w:rPr>
  </w:style>
  <w:style w:type="paragraph" w:customStyle="1" w:styleId="Default">
    <w:name w:val="Default"/>
    <w:rsid w:val="00550C8C"/>
    <w:pPr>
      <w:autoSpaceDE w:val="0"/>
      <w:autoSpaceDN w:val="0"/>
      <w:adjustRightInd w:val="0"/>
    </w:pPr>
    <w:rPr>
      <w:rFonts w:ascii="Arial" w:hAnsi="Arial" w:cs="Arial"/>
      <w:color w:val="000000"/>
      <w:sz w:val="24"/>
      <w:szCs w:val="24"/>
    </w:rPr>
  </w:style>
  <w:style w:type="paragraph" w:customStyle="1" w:styleId="xmsonormal">
    <w:name w:val="x_msonormal"/>
    <w:basedOn w:val="Normal"/>
    <w:rsid w:val="004D3511"/>
    <w:pPr>
      <w:spacing w:after="0" w:line="240" w:lineRule="auto"/>
    </w:pPr>
    <w:rPr>
      <w:rFonts w:eastAsiaTheme="minorHAnsi" w:cs="Calibri"/>
      <w:lang w:val="es-AR" w:eastAsia="es-AR"/>
    </w:rPr>
  </w:style>
  <w:style w:type="character" w:customStyle="1" w:styleId="ListParagraphChar">
    <w:name w:val="List Paragraph Char"/>
    <w:link w:val="ListParagraph"/>
    <w:uiPriority w:val="34"/>
    <w:locked/>
    <w:rsid w:val="00DE5F72"/>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65933">
      <w:bodyDiv w:val="1"/>
      <w:marLeft w:val="0"/>
      <w:marRight w:val="0"/>
      <w:marTop w:val="0"/>
      <w:marBottom w:val="0"/>
      <w:divBdr>
        <w:top w:val="none" w:sz="0" w:space="0" w:color="auto"/>
        <w:left w:val="none" w:sz="0" w:space="0" w:color="auto"/>
        <w:bottom w:val="none" w:sz="0" w:space="0" w:color="auto"/>
        <w:right w:val="none" w:sz="0" w:space="0" w:color="auto"/>
      </w:divBdr>
    </w:div>
    <w:div w:id="28801471">
      <w:bodyDiv w:val="1"/>
      <w:marLeft w:val="0"/>
      <w:marRight w:val="0"/>
      <w:marTop w:val="0"/>
      <w:marBottom w:val="0"/>
      <w:divBdr>
        <w:top w:val="none" w:sz="0" w:space="0" w:color="auto"/>
        <w:left w:val="none" w:sz="0" w:space="0" w:color="auto"/>
        <w:bottom w:val="none" w:sz="0" w:space="0" w:color="auto"/>
        <w:right w:val="none" w:sz="0" w:space="0" w:color="auto"/>
      </w:divBdr>
    </w:div>
    <w:div w:id="41902117">
      <w:bodyDiv w:val="1"/>
      <w:marLeft w:val="0"/>
      <w:marRight w:val="0"/>
      <w:marTop w:val="0"/>
      <w:marBottom w:val="0"/>
      <w:divBdr>
        <w:top w:val="none" w:sz="0" w:space="0" w:color="auto"/>
        <w:left w:val="none" w:sz="0" w:space="0" w:color="auto"/>
        <w:bottom w:val="none" w:sz="0" w:space="0" w:color="auto"/>
        <w:right w:val="none" w:sz="0" w:space="0" w:color="auto"/>
      </w:divBdr>
    </w:div>
    <w:div w:id="47340990">
      <w:bodyDiv w:val="1"/>
      <w:marLeft w:val="0"/>
      <w:marRight w:val="0"/>
      <w:marTop w:val="0"/>
      <w:marBottom w:val="0"/>
      <w:divBdr>
        <w:top w:val="none" w:sz="0" w:space="0" w:color="auto"/>
        <w:left w:val="none" w:sz="0" w:space="0" w:color="auto"/>
        <w:bottom w:val="none" w:sz="0" w:space="0" w:color="auto"/>
        <w:right w:val="none" w:sz="0" w:space="0" w:color="auto"/>
      </w:divBdr>
    </w:div>
    <w:div w:id="62720094">
      <w:bodyDiv w:val="1"/>
      <w:marLeft w:val="0"/>
      <w:marRight w:val="0"/>
      <w:marTop w:val="0"/>
      <w:marBottom w:val="0"/>
      <w:divBdr>
        <w:top w:val="none" w:sz="0" w:space="0" w:color="auto"/>
        <w:left w:val="none" w:sz="0" w:space="0" w:color="auto"/>
        <w:bottom w:val="none" w:sz="0" w:space="0" w:color="auto"/>
        <w:right w:val="none" w:sz="0" w:space="0" w:color="auto"/>
      </w:divBdr>
    </w:div>
    <w:div w:id="65543003">
      <w:bodyDiv w:val="1"/>
      <w:marLeft w:val="0"/>
      <w:marRight w:val="0"/>
      <w:marTop w:val="0"/>
      <w:marBottom w:val="0"/>
      <w:divBdr>
        <w:top w:val="none" w:sz="0" w:space="0" w:color="auto"/>
        <w:left w:val="none" w:sz="0" w:space="0" w:color="auto"/>
        <w:bottom w:val="none" w:sz="0" w:space="0" w:color="auto"/>
        <w:right w:val="none" w:sz="0" w:space="0" w:color="auto"/>
      </w:divBdr>
    </w:div>
    <w:div w:id="89931906">
      <w:bodyDiv w:val="1"/>
      <w:marLeft w:val="0"/>
      <w:marRight w:val="0"/>
      <w:marTop w:val="0"/>
      <w:marBottom w:val="0"/>
      <w:divBdr>
        <w:top w:val="none" w:sz="0" w:space="0" w:color="auto"/>
        <w:left w:val="none" w:sz="0" w:space="0" w:color="auto"/>
        <w:bottom w:val="none" w:sz="0" w:space="0" w:color="auto"/>
        <w:right w:val="none" w:sz="0" w:space="0" w:color="auto"/>
      </w:divBdr>
    </w:div>
    <w:div w:id="100031799">
      <w:bodyDiv w:val="1"/>
      <w:marLeft w:val="0"/>
      <w:marRight w:val="0"/>
      <w:marTop w:val="0"/>
      <w:marBottom w:val="0"/>
      <w:divBdr>
        <w:top w:val="none" w:sz="0" w:space="0" w:color="auto"/>
        <w:left w:val="none" w:sz="0" w:space="0" w:color="auto"/>
        <w:bottom w:val="none" w:sz="0" w:space="0" w:color="auto"/>
        <w:right w:val="none" w:sz="0" w:space="0" w:color="auto"/>
      </w:divBdr>
    </w:div>
    <w:div w:id="150873462">
      <w:bodyDiv w:val="1"/>
      <w:marLeft w:val="0"/>
      <w:marRight w:val="0"/>
      <w:marTop w:val="0"/>
      <w:marBottom w:val="0"/>
      <w:divBdr>
        <w:top w:val="none" w:sz="0" w:space="0" w:color="auto"/>
        <w:left w:val="none" w:sz="0" w:space="0" w:color="auto"/>
        <w:bottom w:val="none" w:sz="0" w:space="0" w:color="auto"/>
        <w:right w:val="none" w:sz="0" w:space="0" w:color="auto"/>
      </w:divBdr>
    </w:div>
    <w:div w:id="176432883">
      <w:bodyDiv w:val="1"/>
      <w:marLeft w:val="0"/>
      <w:marRight w:val="0"/>
      <w:marTop w:val="0"/>
      <w:marBottom w:val="0"/>
      <w:divBdr>
        <w:top w:val="none" w:sz="0" w:space="0" w:color="auto"/>
        <w:left w:val="none" w:sz="0" w:space="0" w:color="auto"/>
        <w:bottom w:val="none" w:sz="0" w:space="0" w:color="auto"/>
        <w:right w:val="none" w:sz="0" w:space="0" w:color="auto"/>
      </w:divBdr>
    </w:div>
    <w:div w:id="198014814">
      <w:bodyDiv w:val="1"/>
      <w:marLeft w:val="0"/>
      <w:marRight w:val="0"/>
      <w:marTop w:val="0"/>
      <w:marBottom w:val="0"/>
      <w:divBdr>
        <w:top w:val="none" w:sz="0" w:space="0" w:color="auto"/>
        <w:left w:val="none" w:sz="0" w:space="0" w:color="auto"/>
        <w:bottom w:val="none" w:sz="0" w:space="0" w:color="auto"/>
        <w:right w:val="none" w:sz="0" w:space="0" w:color="auto"/>
      </w:divBdr>
    </w:div>
    <w:div w:id="246116950">
      <w:bodyDiv w:val="1"/>
      <w:marLeft w:val="0"/>
      <w:marRight w:val="0"/>
      <w:marTop w:val="0"/>
      <w:marBottom w:val="0"/>
      <w:divBdr>
        <w:top w:val="none" w:sz="0" w:space="0" w:color="auto"/>
        <w:left w:val="none" w:sz="0" w:space="0" w:color="auto"/>
        <w:bottom w:val="none" w:sz="0" w:space="0" w:color="auto"/>
        <w:right w:val="none" w:sz="0" w:space="0" w:color="auto"/>
      </w:divBdr>
    </w:div>
    <w:div w:id="246427351">
      <w:bodyDiv w:val="1"/>
      <w:marLeft w:val="0"/>
      <w:marRight w:val="0"/>
      <w:marTop w:val="0"/>
      <w:marBottom w:val="0"/>
      <w:divBdr>
        <w:top w:val="none" w:sz="0" w:space="0" w:color="auto"/>
        <w:left w:val="none" w:sz="0" w:space="0" w:color="auto"/>
        <w:bottom w:val="none" w:sz="0" w:space="0" w:color="auto"/>
        <w:right w:val="none" w:sz="0" w:space="0" w:color="auto"/>
      </w:divBdr>
    </w:div>
    <w:div w:id="258367020">
      <w:bodyDiv w:val="1"/>
      <w:marLeft w:val="0"/>
      <w:marRight w:val="0"/>
      <w:marTop w:val="0"/>
      <w:marBottom w:val="0"/>
      <w:divBdr>
        <w:top w:val="none" w:sz="0" w:space="0" w:color="auto"/>
        <w:left w:val="none" w:sz="0" w:space="0" w:color="auto"/>
        <w:bottom w:val="none" w:sz="0" w:space="0" w:color="auto"/>
        <w:right w:val="none" w:sz="0" w:space="0" w:color="auto"/>
      </w:divBdr>
    </w:div>
    <w:div w:id="264382270">
      <w:bodyDiv w:val="1"/>
      <w:marLeft w:val="0"/>
      <w:marRight w:val="0"/>
      <w:marTop w:val="0"/>
      <w:marBottom w:val="0"/>
      <w:divBdr>
        <w:top w:val="none" w:sz="0" w:space="0" w:color="auto"/>
        <w:left w:val="none" w:sz="0" w:space="0" w:color="auto"/>
        <w:bottom w:val="none" w:sz="0" w:space="0" w:color="auto"/>
        <w:right w:val="none" w:sz="0" w:space="0" w:color="auto"/>
      </w:divBdr>
    </w:div>
    <w:div w:id="304626437">
      <w:bodyDiv w:val="1"/>
      <w:marLeft w:val="0"/>
      <w:marRight w:val="0"/>
      <w:marTop w:val="0"/>
      <w:marBottom w:val="0"/>
      <w:divBdr>
        <w:top w:val="none" w:sz="0" w:space="0" w:color="auto"/>
        <w:left w:val="none" w:sz="0" w:space="0" w:color="auto"/>
        <w:bottom w:val="none" w:sz="0" w:space="0" w:color="auto"/>
        <w:right w:val="none" w:sz="0" w:space="0" w:color="auto"/>
      </w:divBdr>
    </w:div>
    <w:div w:id="316806383">
      <w:bodyDiv w:val="1"/>
      <w:marLeft w:val="0"/>
      <w:marRight w:val="0"/>
      <w:marTop w:val="0"/>
      <w:marBottom w:val="0"/>
      <w:divBdr>
        <w:top w:val="none" w:sz="0" w:space="0" w:color="auto"/>
        <w:left w:val="none" w:sz="0" w:space="0" w:color="auto"/>
        <w:bottom w:val="none" w:sz="0" w:space="0" w:color="auto"/>
        <w:right w:val="none" w:sz="0" w:space="0" w:color="auto"/>
      </w:divBdr>
    </w:div>
    <w:div w:id="322710199">
      <w:bodyDiv w:val="1"/>
      <w:marLeft w:val="0"/>
      <w:marRight w:val="0"/>
      <w:marTop w:val="0"/>
      <w:marBottom w:val="0"/>
      <w:divBdr>
        <w:top w:val="none" w:sz="0" w:space="0" w:color="auto"/>
        <w:left w:val="none" w:sz="0" w:space="0" w:color="auto"/>
        <w:bottom w:val="none" w:sz="0" w:space="0" w:color="auto"/>
        <w:right w:val="none" w:sz="0" w:space="0" w:color="auto"/>
      </w:divBdr>
    </w:div>
    <w:div w:id="367413848">
      <w:bodyDiv w:val="1"/>
      <w:marLeft w:val="0"/>
      <w:marRight w:val="0"/>
      <w:marTop w:val="0"/>
      <w:marBottom w:val="0"/>
      <w:divBdr>
        <w:top w:val="none" w:sz="0" w:space="0" w:color="auto"/>
        <w:left w:val="none" w:sz="0" w:space="0" w:color="auto"/>
        <w:bottom w:val="none" w:sz="0" w:space="0" w:color="auto"/>
        <w:right w:val="none" w:sz="0" w:space="0" w:color="auto"/>
      </w:divBdr>
    </w:div>
    <w:div w:id="371617644">
      <w:bodyDiv w:val="1"/>
      <w:marLeft w:val="0"/>
      <w:marRight w:val="0"/>
      <w:marTop w:val="0"/>
      <w:marBottom w:val="0"/>
      <w:divBdr>
        <w:top w:val="none" w:sz="0" w:space="0" w:color="auto"/>
        <w:left w:val="none" w:sz="0" w:space="0" w:color="auto"/>
        <w:bottom w:val="none" w:sz="0" w:space="0" w:color="auto"/>
        <w:right w:val="none" w:sz="0" w:space="0" w:color="auto"/>
      </w:divBdr>
    </w:div>
    <w:div w:id="372577589">
      <w:bodyDiv w:val="1"/>
      <w:marLeft w:val="0"/>
      <w:marRight w:val="0"/>
      <w:marTop w:val="0"/>
      <w:marBottom w:val="0"/>
      <w:divBdr>
        <w:top w:val="none" w:sz="0" w:space="0" w:color="auto"/>
        <w:left w:val="none" w:sz="0" w:space="0" w:color="auto"/>
        <w:bottom w:val="none" w:sz="0" w:space="0" w:color="auto"/>
        <w:right w:val="none" w:sz="0" w:space="0" w:color="auto"/>
      </w:divBdr>
    </w:div>
    <w:div w:id="374088578">
      <w:bodyDiv w:val="1"/>
      <w:marLeft w:val="0"/>
      <w:marRight w:val="0"/>
      <w:marTop w:val="0"/>
      <w:marBottom w:val="0"/>
      <w:divBdr>
        <w:top w:val="none" w:sz="0" w:space="0" w:color="auto"/>
        <w:left w:val="none" w:sz="0" w:space="0" w:color="auto"/>
        <w:bottom w:val="none" w:sz="0" w:space="0" w:color="auto"/>
        <w:right w:val="none" w:sz="0" w:space="0" w:color="auto"/>
      </w:divBdr>
    </w:div>
    <w:div w:id="391394515">
      <w:bodyDiv w:val="1"/>
      <w:marLeft w:val="0"/>
      <w:marRight w:val="0"/>
      <w:marTop w:val="0"/>
      <w:marBottom w:val="0"/>
      <w:divBdr>
        <w:top w:val="none" w:sz="0" w:space="0" w:color="auto"/>
        <w:left w:val="none" w:sz="0" w:space="0" w:color="auto"/>
        <w:bottom w:val="none" w:sz="0" w:space="0" w:color="auto"/>
        <w:right w:val="none" w:sz="0" w:space="0" w:color="auto"/>
      </w:divBdr>
    </w:div>
    <w:div w:id="398864077">
      <w:bodyDiv w:val="1"/>
      <w:marLeft w:val="0"/>
      <w:marRight w:val="0"/>
      <w:marTop w:val="0"/>
      <w:marBottom w:val="0"/>
      <w:divBdr>
        <w:top w:val="none" w:sz="0" w:space="0" w:color="auto"/>
        <w:left w:val="none" w:sz="0" w:space="0" w:color="auto"/>
        <w:bottom w:val="none" w:sz="0" w:space="0" w:color="auto"/>
        <w:right w:val="none" w:sz="0" w:space="0" w:color="auto"/>
      </w:divBdr>
    </w:div>
    <w:div w:id="440801973">
      <w:bodyDiv w:val="1"/>
      <w:marLeft w:val="0"/>
      <w:marRight w:val="0"/>
      <w:marTop w:val="0"/>
      <w:marBottom w:val="0"/>
      <w:divBdr>
        <w:top w:val="none" w:sz="0" w:space="0" w:color="auto"/>
        <w:left w:val="none" w:sz="0" w:space="0" w:color="auto"/>
        <w:bottom w:val="none" w:sz="0" w:space="0" w:color="auto"/>
        <w:right w:val="none" w:sz="0" w:space="0" w:color="auto"/>
      </w:divBdr>
    </w:div>
    <w:div w:id="441851055">
      <w:bodyDiv w:val="1"/>
      <w:marLeft w:val="0"/>
      <w:marRight w:val="0"/>
      <w:marTop w:val="0"/>
      <w:marBottom w:val="0"/>
      <w:divBdr>
        <w:top w:val="none" w:sz="0" w:space="0" w:color="auto"/>
        <w:left w:val="none" w:sz="0" w:space="0" w:color="auto"/>
        <w:bottom w:val="none" w:sz="0" w:space="0" w:color="auto"/>
        <w:right w:val="none" w:sz="0" w:space="0" w:color="auto"/>
      </w:divBdr>
    </w:div>
    <w:div w:id="455488098">
      <w:bodyDiv w:val="1"/>
      <w:marLeft w:val="0"/>
      <w:marRight w:val="0"/>
      <w:marTop w:val="0"/>
      <w:marBottom w:val="0"/>
      <w:divBdr>
        <w:top w:val="none" w:sz="0" w:space="0" w:color="auto"/>
        <w:left w:val="none" w:sz="0" w:space="0" w:color="auto"/>
        <w:bottom w:val="none" w:sz="0" w:space="0" w:color="auto"/>
        <w:right w:val="none" w:sz="0" w:space="0" w:color="auto"/>
      </w:divBdr>
    </w:div>
    <w:div w:id="463352585">
      <w:bodyDiv w:val="1"/>
      <w:marLeft w:val="0"/>
      <w:marRight w:val="0"/>
      <w:marTop w:val="0"/>
      <w:marBottom w:val="0"/>
      <w:divBdr>
        <w:top w:val="none" w:sz="0" w:space="0" w:color="auto"/>
        <w:left w:val="none" w:sz="0" w:space="0" w:color="auto"/>
        <w:bottom w:val="none" w:sz="0" w:space="0" w:color="auto"/>
        <w:right w:val="none" w:sz="0" w:space="0" w:color="auto"/>
      </w:divBdr>
    </w:div>
    <w:div w:id="469329826">
      <w:bodyDiv w:val="1"/>
      <w:marLeft w:val="0"/>
      <w:marRight w:val="0"/>
      <w:marTop w:val="0"/>
      <w:marBottom w:val="0"/>
      <w:divBdr>
        <w:top w:val="none" w:sz="0" w:space="0" w:color="auto"/>
        <w:left w:val="none" w:sz="0" w:space="0" w:color="auto"/>
        <w:bottom w:val="none" w:sz="0" w:space="0" w:color="auto"/>
        <w:right w:val="none" w:sz="0" w:space="0" w:color="auto"/>
      </w:divBdr>
    </w:div>
    <w:div w:id="470290244">
      <w:bodyDiv w:val="1"/>
      <w:marLeft w:val="0"/>
      <w:marRight w:val="0"/>
      <w:marTop w:val="0"/>
      <w:marBottom w:val="0"/>
      <w:divBdr>
        <w:top w:val="none" w:sz="0" w:space="0" w:color="auto"/>
        <w:left w:val="none" w:sz="0" w:space="0" w:color="auto"/>
        <w:bottom w:val="none" w:sz="0" w:space="0" w:color="auto"/>
        <w:right w:val="none" w:sz="0" w:space="0" w:color="auto"/>
      </w:divBdr>
    </w:div>
    <w:div w:id="484470420">
      <w:bodyDiv w:val="1"/>
      <w:marLeft w:val="0"/>
      <w:marRight w:val="0"/>
      <w:marTop w:val="0"/>
      <w:marBottom w:val="0"/>
      <w:divBdr>
        <w:top w:val="none" w:sz="0" w:space="0" w:color="auto"/>
        <w:left w:val="none" w:sz="0" w:space="0" w:color="auto"/>
        <w:bottom w:val="none" w:sz="0" w:space="0" w:color="auto"/>
        <w:right w:val="none" w:sz="0" w:space="0" w:color="auto"/>
      </w:divBdr>
    </w:div>
    <w:div w:id="487601245">
      <w:bodyDiv w:val="1"/>
      <w:marLeft w:val="0"/>
      <w:marRight w:val="0"/>
      <w:marTop w:val="0"/>
      <w:marBottom w:val="0"/>
      <w:divBdr>
        <w:top w:val="none" w:sz="0" w:space="0" w:color="auto"/>
        <w:left w:val="none" w:sz="0" w:space="0" w:color="auto"/>
        <w:bottom w:val="none" w:sz="0" w:space="0" w:color="auto"/>
        <w:right w:val="none" w:sz="0" w:space="0" w:color="auto"/>
      </w:divBdr>
    </w:div>
    <w:div w:id="491677147">
      <w:bodyDiv w:val="1"/>
      <w:marLeft w:val="0"/>
      <w:marRight w:val="0"/>
      <w:marTop w:val="0"/>
      <w:marBottom w:val="0"/>
      <w:divBdr>
        <w:top w:val="none" w:sz="0" w:space="0" w:color="auto"/>
        <w:left w:val="none" w:sz="0" w:space="0" w:color="auto"/>
        <w:bottom w:val="none" w:sz="0" w:space="0" w:color="auto"/>
        <w:right w:val="none" w:sz="0" w:space="0" w:color="auto"/>
      </w:divBdr>
    </w:div>
    <w:div w:id="503715457">
      <w:bodyDiv w:val="1"/>
      <w:marLeft w:val="0"/>
      <w:marRight w:val="0"/>
      <w:marTop w:val="0"/>
      <w:marBottom w:val="0"/>
      <w:divBdr>
        <w:top w:val="none" w:sz="0" w:space="0" w:color="auto"/>
        <w:left w:val="none" w:sz="0" w:space="0" w:color="auto"/>
        <w:bottom w:val="none" w:sz="0" w:space="0" w:color="auto"/>
        <w:right w:val="none" w:sz="0" w:space="0" w:color="auto"/>
      </w:divBdr>
    </w:div>
    <w:div w:id="520356453">
      <w:bodyDiv w:val="1"/>
      <w:marLeft w:val="0"/>
      <w:marRight w:val="0"/>
      <w:marTop w:val="0"/>
      <w:marBottom w:val="0"/>
      <w:divBdr>
        <w:top w:val="none" w:sz="0" w:space="0" w:color="auto"/>
        <w:left w:val="none" w:sz="0" w:space="0" w:color="auto"/>
        <w:bottom w:val="none" w:sz="0" w:space="0" w:color="auto"/>
        <w:right w:val="none" w:sz="0" w:space="0" w:color="auto"/>
      </w:divBdr>
    </w:div>
    <w:div w:id="544100511">
      <w:bodyDiv w:val="1"/>
      <w:marLeft w:val="0"/>
      <w:marRight w:val="0"/>
      <w:marTop w:val="0"/>
      <w:marBottom w:val="0"/>
      <w:divBdr>
        <w:top w:val="none" w:sz="0" w:space="0" w:color="auto"/>
        <w:left w:val="none" w:sz="0" w:space="0" w:color="auto"/>
        <w:bottom w:val="none" w:sz="0" w:space="0" w:color="auto"/>
        <w:right w:val="none" w:sz="0" w:space="0" w:color="auto"/>
      </w:divBdr>
    </w:div>
    <w:div w:id="559100557">
      <w:bodyDiv w:val="1"/>
      <w:marLeft w:val="0"/>
      <w:marRight w:val="0"/>
      <w:marTop w:val="0"/>
      <w:marBottom w:val="0"/>
      <w:divBdr>
        <w:top w:val="none" w:sz="0" w:space="0" w:color="auto"/>
        <w:left w:val="none" w:sz="0" w:space="0" w:color="auto"/>
        <w:bottom w:val="none" w:sz="0" w:space="0" w:color="auto"/>
        <w:right w:val="none" w:sz="0" w:space="0" w:color="auto"/>
      </w:divBdr>
    </w:div>
    <w:div w:id="561450874">
      <w:bodyDiv w:val="1"/>
      <w:marLeft w:val="0"/>
      <w:marRight w:val="0"/>
      <w:marTop w:val="0"/>
      <w:marBottom w:val="0"/>
      <w:divBdr>
        <w:top w:val="none" w:sz="0" w:space="0" w:color="auto"/>
        <w:left w:val="none" w:sz="0" w:space="0" w:color="auto"/>
        <w:bottom w:val="none" w:sz="0" w:space="0" w:color="auto"/>
        <w:right w:val="none" w:sz="0" w:space="0" w:color="auto"/>
      </w:divBdr>
    </w:div>
    <w:div w:id="578829867">
      <w:bodyDiv w:val="1"/>
      <w:marLeft w:val="0"/>
      <w:marRight w:val="0"/>
      <w:marTop w:val="0"/>
      <w:marBottom w:val="0"/>
      <w:divBdr>
        <w:top w:val="none" w:sz="0" w:space="0" w:color="auto"/>
        <w:left w:val="none" w:sz="0" w:space="0" w:color="auto"/>
        <w:bottom w:val="none" w:sz="0" w:space="0" w:color="auto"/>
        <w:right w:val="none" w:sz="0" w:space="0" w:color="auto"/>
      </w:divBdr>
    </w:div>
    <w:div w:id="584917417">
      <w:bodyDiv w:val="1"/>
      <w:marLeft w:val="0"/>
      <w:marRight w:val="0"/>
      <w:marTop w:val="0"/>
      <w:marBottom w:val="0"/>
      <w:divBdr>
        <w:top w:val="none" w:sz="0" w:space="0" w:color="auto"/>
        <w:left w:val="none" w:sz="0" w:space="0" w:color="auto"/>
        <w:bottom w:val="none" w:sz="0" w:space="0" w:color="auto"/>
        <w:right w:val="none" w:sz="0" w:space="0" w:color="auto"/>
      </w:divBdr>
    </w:div>
    <w:div w:id="585309431">
      <w:bodyDiv w:val="1"/>
      <w:marLeft w:val="0"/>
      <w:marRight w:val="0"/>
      <w:marTop w:val="0"/>
      <w:marBottom w:val="0"/>
      <w:divBdr>
        <w:top w:val="none" w:sz="0" w:space="0" w:color="auto"/>
        <w:left w:val="none" w:sz="0" w:space="0" w:color="auto"/>
        <w:bottom w:val="none" w:sz="0" w:space="0" w:color="auto"/>
        <w:right w:val="none" w:sz="0" w:space="0" w:color="auto"/>
      </w:divBdr>
    </w:div>
    <w:div w:id="585918456">
      <w:bodyDiv w:val="1"/>
      <w:marLeft w:val="0"/>
      <w:marRight w:val="0"/>
      <w:marTop w:val="0"/>
      <w:marBottom w:val="0"/>
      <w:divBdr>
        <w:top w:val="none" w:sz="0" w:space="0" w:color="auto"/>
        <w:left w:val="none" w:sz="0" w:space="0" w:color="auto"/>
        <w:bottom w:val="none" w:sz="0" w:space="0" w:color="auto"/>
        <w:right w:val="none" w:sz="0" w:space="0" w:color="auto"/>
      </w:divBdr>
    </w:div>
    <w:div w:id="636109069">
      <w:bodyDiv w:val="1"/>
      <w:marLeft w:val="0"/>
      <w:marRight w:val="0"/>
      <w:marTop w:val="0"/>
      <w:marBottom w:val="0"/>
      <w:divBdr>
        <w:top w:val="none" w:sz="0" w:space="0" w:color="auto"/>
        <w:left w:val="none" w:sz="0" w:space="0" w:color="auto"/>
        <w:bottom w:val="none" w:sz="0" w:space="0" w:color="auto"/>
        <w:right w:val="none" w:sz="0" w:space="0" w:color="auto"/>
      </w:divBdr>
    </w:div>
    <w:div w:id="646399483">
      <w:bodyDiv w:val="1"/>
      <w:marLeft w:val="0"/>
      <w:marRight w:val="0"/>
      <w:marTop w:val="0"/>
      <w:marBottom w:val="0"/>
      <w:divBdr>
        <w:top w:val="none" w:sz="0" w:space="0" w:color="auto"/>
        <w:left w:val="none" w:sz="0" w:space="0" w:color="auto"/>
        <w:bottom w:val="none" w:sz="0" w:space="0" w:color="auto"/>
        <w:right w:val="none" w:sz="0" w:space="0" w:color="auto"/>
      </w:divBdr>
    </w:div>
    <w:div w:id="695927859">
      <w:bodyDiv w:val="1"/>
      <w:marLeft w:val="0"/>
      <w:marRight w:val="0"/>
      <w:marTop w:val="0"/>
      <w:marBottom w:val="0"/>
      <w:divBdr>
        <w:top w:val="none" w:sz="0" w:space="0" w:color="auto"/>
        <w:left w:val="none" w:sz="0" w:space="0" w:color="auto"/>
        <w:bottom w:val="none" w:sz="0" w:space="0" w:color="auto"/>
        <w:right w:val="none" w:sz="0" w:space="0" w:color="auto"/>
      </w:divBdr>
    </w:div>
    <w:div w:id="728918833">
      <w:bodyDiv w:val="1"/>
      <w:marLeft w:val="0"/>
      <w:marRight w:val="0"/>
      <w:marTop w:val="0"/>
      <w:marBottom w:val="0"/>
      <w:divBdr>
        <w:top w:val="none" w:sz="0" w:space="0" w:color="auto"/>
        <w:left w:val="none" w:sz="0" w:space="0" w:color="auto"/>
        <w:bottom w:val="none" w:sz="0" w:space="0" w:color="auto"/>
        <w:right w:val="none" w:sz="0" w:space="0" w:color="auto"/>
      </w:divBdr>
    </w:div>
    <w:div w:id="735319482">
      <w:bodyDiv w:val="1"/>
      <w:marLeft w:val="0"/>
      <w:marRight w:val="0"/>
      <w:marTop w:val="0"/>
      <w:marBottom w:val="0"/>
      <w:divBdr>
        <w:top w:val="none" w:sz="0" w:space="0" w:color="auto"/>
        <w:left w:val="none" w:sz="0" w:space="0" w:color="auto"/>
        <w:bottom w:val="none" w:sz="0" w:space="0" w:color="auto"/>
        <w:right w:val="none" w:sz="0" w:space="0" w:color="auto"/>
      </w:divBdr>
    </w:div>
    <w:div w:id="737629278">
      <w:bodyDiv w:val="1"/>
      <w:marLeft w:val="0"/>
      <w:marRight w:val="0"/>
      <w:marTop w:val="0"/>
      <w:marBottom w:val="0"/>
      <w:divBdr>
        <w:top w:val="none" w:sz="0" w:space="0" w:color="auto"/>
        <w:left w:val="none" w:sz="0" w:space="0" w:color="auto"/>
        <w:bottom w:val="none" w:sz="0" w:space="0" w:color="auto"/>
        <w:right w:val="none" w:sz="0" w:space="0" w:color="auto"/>
      </w:divBdr>
    </w:div>
    <w:div w:id="749276224">
      <w:bodyDiv w:val="1"/>
      <w:marLeft w:val="0"/>
      <w:marRight w:val="0"/>
      <w:marTop w:val="0"/>
      <w:marBottom w:val="0"/>
      <w:divBdr>
        <w:top w:val="none" w:sz="0" w:space="0" w:color="auto"/>
        <w:left w:val="none" w:sz="0" w:space="0" w:color="auto"/>
        <w:bottom w:val="none" w:sz="0" w:space="0" w:color="auto"/>
        <w:right w:val="none" w:sz="0" w:space="0" w:color="auto"/>
      </w:divBdr>
    </w:div>
    <w:div w:id="764231541">
      <w:bodyDiv w:val="1"/>
      <w:marLeft w:val="0"/>
      <w:marRight w:val="0"/>
      <w:marTop w:val="0"/>
      <w:marBottom w:val="0"/>
      <w:divBdr>
        <w:top w:val="none" w:sz="0" w:space="0" w:color="auto"/>
        <w:left w:val="none" w:sz="0" w:space="0" w:color="auto"/>
        <w:bottom w:val="none" w:sz="0" w:space="0" w:color="auto"/>
        <w:right w:val="none" w:sz="0" w:space="0" w:color="auto"/>
      </w:divBdr>
    </w:div>
    <w:div w:id="769084853">
      <w:bodyDiv w:val="1"/>
      <w:marLeft w:val="0"/>
      <w:marRight w:val="0"/>
      <w:marTop w:val="0"/>
      <w:marBottom w:val="0"/>
      <w:divBdr>
        <w:top w:val="none" w:sz="0" w:space="0" w:color="auto"/>
        <w:left w:val="none" w:sz="0" w:space="0" w:color="auto"/>
        <w:bottom w:val="none" w:sz="0" w:space="0" w:color="auto"/>
        <w:right w:val="none" w:sz="0" w:space="0" w:color="auto"/>
      </w:divBdr>
    </w:div>
    <w:div w:id="797770396">
      <w:bodyDiv w:val="1"/>
      <w:marLeft w:val="0"/>
      <w:marRight w:val="0"/>
      <w:marTop w:val="0"/>
      <w:marBottom w:val="0"/>
      <w:divBdr>
        <w:top w:val="none" w:sz="0" w:space="0" w:color="auto"/>
        <w:left w:val="none" w:sz="0" w:space="0" w:color="auto"/>
        <w:bottom w:val="none" w:sz="0" w:space="0" w:color="auto"/>
        <w:right w:val="none" w:sz="0" w:space="0" w:color="auto"/>
      </w:divBdr>
    </w:div>
    <w:div w:id="800265899">
      <w:bodyDiv w:val="1"/>
      <w:marLeft w:val="0"/>
      <w:marRight w:val="0"/>
      <w:marTop w:val="0"/>
      <w:marBottom w:val="0"/>
      <w:divBdr>
        <w:top w:val="none" w:sz="0" w:space="0" w:color="auto"/>
        <w:left w:val="none" w:sz="0" w:space="0" w:color="auto"/>
        <w:bottom w:val="none" w:sz="0" w:space="0" w:color="auto"/>
        <w:right w:val="none" w:sz="0" w:space="0" w:color="auto"/>
      </w:divBdr>
    </w:div>
    <w:div w:id="816653336">
      <w:bodyDiv w:val="1"/>
      <w:marLeft w:val="0"/>
      <w:marRight w:val="0"/>
      <w:marTop w:val="0"/>
      <w:marBottom w:val="0"/>
      <w:divBdr>
        <w:top w:val="none" w:sz="0" w:space="0" w:color="auto"/>
        <w:left w:val="none" w:sz="0" w:space="0" w:color="auto"/>
        <w:bottom w:val="none" w:sz="0" w:space="0" w:color="auto"/>
        <w:right w:val="none" w:sz="0" w:space="0" w:color="auto"/>
      </w:divBdr>
    </w:div>
    <w:div w:id="817890067">
      <w:bodyDiv w:val="1"/>
      <w:marLeft w:val="0"/>
      <w:marRight w:val="0"/>
      <w:marTop w:val="0"/>
      <w:marBottom w:val="0"/>
      <w:divBdr>
        <w:top w:val="none" w:sz="0" w:space="0" w:color="auto"/>
        <w:left w:val="none" w:sz="0" w:space="0" w:color="auto"/>
        <w:bottom w:val="none" w:sz="0" w:space="0" w:color="auto"/>
        <w:right w:val="none" w:sz="0" w:space="0" w:color="auto"/>
      </w:divBdr>
    </w:div>
    <w:div w:id="825315832">
      <w:bodyDiv w:val="1"/>
      <w:marLeft w:val="0"/>
      <w:marRight w:val="0"/>
      <w:marTop w:val="0"/>
      <w:marBottom w:val="0"/>
      <w:divBdr>
        <w:top w:val="none" w:sz="0" w:space="0" w:color="auto"/>
        <w:left w:val="none" w:sz="0" w:space="0" w:color="auto"/>
        <w:bottom w:val="none" w:sz="0" w:space="0" w:color="auto"/>
        <w:right w:val="none" w:sz="0" w:space="0" w:color="auto"/>
      </w:divBdr>
    </w:div>
    <w:div w:id="845822972">
      <w:bodyDiv w:val="1"/>
      <w:marLeft w:val="0"/>
      <w:marRight w:val="0"/>
      <w:marTop w:val="0"/>
      <w:marBottom w:val="0"/>
      <w:divBdr>
        <w:top w:val="none" w:sz="0" w:space="0" w:color="auto"/>
        <w:left w:val="none" w:sz="0" w:space="0" w:color="auto"/>
        <w:bottom w:val="none" w:sz="0" w:space="0" w:color="auto"/>
        <w:right w:val="none" w:sz="0" w:space="0" w:color="auto"/>
      </w:divBdr>
    </w:div>
    <w:div w:id="882518099">
      <w:bodyDiv w:val="1"/>
      <w:marLeft w:val="0"/>
      <w:marRight w:val="0"/>
      <w:marTop w:val="0"/>
      <w:marBottom w:val="0"/>
      <w:divBdr>
        <w:top w:val="none" w:sz="0" w:space="0" w:color="auto"/>
        <w:left w:val="none" w:sz="0" w:space="0" w:color="auto"/>
        <w:bottom w:val="none" w:sz="0" w:space="0" w:color="auto"/>
        <w:right w:val="none" w:sz="0" w:space="0" w:color="auto"/>
      </w:divBdr>
    </w:div>
    <w:div w:id="882903355">
      <w:bodyDiv w:val="1"/>
      <w:marLeft w:val="0"/>
      <w:marRight w:val="0"/>
      <w:marTop w:val="0"/>
      <w:marBottom w:val="0"/>
      <w:divBdr>
        <w:top w:val="none" w:sz="0" w:space="0" w:color="auto"/>
        <w:left w:val="none" w:sz="0" w:space="0" w:color="auto"/>
        <w:bottom w:val="none" w:sz="0" w:space="0" w:color="auto"/>
        <w:right w:val="none" w:sz="0" w:space="0" w:color="auto"/>
      </w:divBdr>
    </w:div>
    <w:div w:id="907766049">
      <w:bodyDiv w:val="1"/>
      <w:marLeft w:val="0"/>
      <w:marRight w:val="0"/>
      <w:marTop w:val="0"/>
      <w:marBottom w:val="0"/>
      <w:divBdr>
        <w:top w:val="none" w:sz="0" w:space="0" w:color="auto"/>
        <w:left w:val="none" w:sz="0" w:space="0" w:color="auto"/>
        <w:bottom w:val="none" w:sz="0" w:space="0" w:color="auto"/>
        <w:right w:val="none" w:sz="0" w:space="0" w:color="auto"/>
      </w:divBdr>
    </w:div>
    <w:div w:id="908147584">
      <w:bodyDiv w:val="1"/>
      <w:marLeft w:val="0"/>
      <w:marRight w:val="0"/>
      <w:marTop w:val="0"/>
      <w:marBottom w:val="0"/>
      <w:divBdr>
        <w:top w:val="none" w:sz="0" w:space="0" w:color="auto"/>
        <w:left w:val="none" w:sz="0" w:space="0" w:color="auto"/>
        <w:bottom w:val="none" w:sz="0" w:space="0" w:color="auto"/>
        <w:right w:val="none" w:sz="0" w:space="0" w:color="auto"/>
      </w:divBdr>
    </w:div>
    <w:div w:id="908346959">
      <w:bodyDiv w:val="1"/>
      <w:marLeft w:val="0"/>
      <w:marRight w:val="0"/>
      <w:marTop w:val="0"/>
      <w:marBottom w:val="0"/>
      <w:divBdr>
        <w:top w:val="none" w:sz="0" w:space="0" w:color="auto"/>
        <w:left w:val="none" w:sz="0" w:space="0" w:color="auto"/>
        <w:bottom w:val="none" w:sz="0" w:space="0" w:color="auto"/>
        <w:right w:val="none" w:sz="0" w:space="0" w:color="auto"/>
      </w:divBdr>
    </w:div>
    <w:div w:id="921257441">
      <w:bodyDiv w:val="1"/>
      <w:marLeft w:val="0"/>
      <w:marRight w:val="0"/>
      <w:marTop w:val="0"/>
      <w:marBottom w:val="0"/>
      <w:divBdr>
        <w:top w:val="none" w:sz="0" w:space="0" w:color="auto"/>
        <w:left w:val="none" w:sz="0" w:space="0" w:color="auto"/>
        <w:bottom w:val="none" w:sz="0" w:space="0" w:color="auto"/>
        <w:right w:val="none" w:sz="0" w:space="0" w:color="auto"/>
      </w:divBdr>
    </w:div>
    <w:div w:id="923145523">
      <w:bodyDiv w:val="1"/>
      <w:marLeft w:val="0"/>
      <w:marRight w:val="0"/>
      <w:marTop w:val="0"/>
      <w:marBottom w:val="0"/>
      <w:divBdr>
        <w:top w:val="none" w:sz="0" w:space="0" w:color="auto"/>
        <w:left w:val="none" w:sz="0" w:space="0" w:color="auto"/>
        <w:bottom w:val="none" w:sz="0" w:space="0" w:color="auto"/>
        <w:right w:val="none" w:sz="0" w:space="0" w:color="auto"/>
      </w:divBdr>
    </w:div>
    <w:div w:id="927617878">
      <w:bodyDiv w:val="1"/>
      <w:marLeft w:val="0"/>
      <w:marRight w:val="0"/>
      <w:marTop w:val="0"/>
      <w:marBottom w:val="0"/>
      <w:divBdr>
        <w:top w:val="none" w:sz="0" w:space="0" w:color="auto"/>
        <w:left w:val="none" w:sz="0" w:space="0" w:color="auto"/>
        <w:bottom w:val="none" w:sz="0" w:space="0" w:color="auto"/>
        <w:right w:val="none" w:sz="0" w:space="0" w:color="auto"/>
      </w:divBdr>
    </w:div>
    <w:div w:id="935793290">
      <w:bodyDiv w:val="1"/>
      <w:marLeft w:val="0"/>
      <w:marRight w:val="0"/>
      <w:marTop w:val="0"/>
      <w:marBottom w:val="0"/>
      <w:divBdr>
        <w:top w:val="none" w:sz="0" w:space="0" w:color="auto"/>
        <w:left w:val="none" w:sz="0" w:space="0" w:color="auto"/>
        <w:bottom w:val="none" w:sz="0" w:space="0" w:color="auto"/>
        <w:right w:val="none" w:sz="0" w:space="0" w:color="auto"/>
      </w:divBdr>
    </w:div>
    <w:div w:id="938949152">
      <w:bodyDiv w:val="1"/>
      <w:marLeft w:val="0"/>
      <w:marRight w:val="0"/>
      <w:marTop w:val="0"/>
      <w:marBottom w:val="0"/>
      <w:divBdr>
        <w:top w:val="none" w:sz="0" w:space="0" w:color="auto"/>
        <w:left w:val="none" w:sz="0" w:space="0" w:color="auto"/>
        <w:bottom w:val="none" w:sz="0" w:space="0" w:color="auto"/>
        <w:right w:val="none" w:sz="0" w:space="0" w:color="auto"/>
      </w:divBdr>
    </w:div>
    <w:div w:id="966860466">
      <w:bodyDiv w:val="1"/>
      <w:marLeft w:val="0"/>
      <w:marRight w:val="0"/>
      <w:marTop w:val="0"/>
      <w:marBottom w:val="0"/>
      <w:divBdr>
        <w:top w:val="none" w:sz="0" w:space="0" w:color="auto"/>
        <w:left w:val="none" w:sz="0" w:space="0" w:color="auto"/>
        <w:bottom w:val="none" w:sz="0" w:space="0" w:color="auto"/>
        <w:right w:val="none" w:sz="0" w:space="0" w:color="auto"/>
      </w:divBdr>
    </w:div>
    <w:div w:id="974069414">
      <w:bodyDiv w:val="1"/>
      <w:marLeft w:val="0"/>
      <w:marRight w:val="0"/>
      <w:marTop w:val="0"/>
      <w:marBottom w:val="0"/>
      <w:divBdr>
        <w:top w:val="none" w:sz="0" w:space="0" w:color="auto"/>
        <w:left w:val="none" w:sz="0" w:space="0" w:color="auto"/>
        <w:bottom w:val="none" w:sz="0" w:space="0" w:color="auto"/>
        <w:right w:val="none" w:sz="0" w:space="0" w:color="auto"/>
      </w:divBdr>
    </w:div>
    <w:div w:id="982345619">
      <w:bodyDiv w:val="1"/>
      <w:marLeft w:val="0"/>
      <w:marRight w:val="0"/>
      <w:marTop w:val="0"/>
      <w:marBottom w:val="0"/>
      <w:divBdr>
        <w:top w:val="none" w:sz="0" w:space="0" w:color="auto"/>
        <w:left w:val="none" w:sz="0" w:space="0" w:color="auto"/>
        <w:bottom w:val="none" w:sz="0" w:space="0" w:color="auto"/>
        <w:right w:val="none" w:sz="0" w:space="0" w:color="auto"/>
      </w:divBdr>
    </w:div>
    <w:div w:id="987394155">
      <w:bodyDiv w:val="1"/>
      <w:marLeft w:val="0"/>
      <w:marRight w:val="0"/>
      <w:marTop w:val="0"/>
      <w:marBottom w:val="0"/>
      <w:divBdr>
        <w:top w:val="none" w:sz="0" w:space="0" w:color="auto"/>
        <w:left w:val="none" w:sz="0" w:space="0" w:color="auto"/>
        <w:bottom w:val="none" w:sz="0" w:space="0" w:color="auto"/>
        <w:right w:val="none" w:sz="0" w:space="0" w:color="auto"/>
      </w:divBdr>
    </w:div>
    <w:div w:id="989672648">
      <w:bodyDiv w:val="1"/>
      <w:marLeft w:val="0"/>
      <w:marRight w:val="0"/>
      <w:marTop w:val="0"/>
      <w:marBottom w:val="0"/>
      <w:divBdr>
        <w:top w:val="none" w:sz="0" w:space="0" w:color="auto"/>
        <w:left w:val="none" w:sz="0" w:space="0" w:color="auto"/>
        <w:bottom w:val="none" w:sz="0" w:space="0" w:color="auto"/>
        <w:right w:val="none" w:sz="0" w:space="0" w:color="auto"/>
      </w:divBdr>
    </w:div>
    <w:div w:id="1002271089">
      <w:bodyDiv w:val="1"/>
      <w:marLeft w:val="0"/>
      <w:marRight w:val="0"/>
      <w:marTop w:val="0"/>
      <w:marBottom w:val="0"/>
      <w:divBdr>
        <w:top w:val="none" w:sz="0" w:space="0" w:color="auto"/>
        <w:left w:val="none" w:sz="0" w:space="0" w:color="auto"/>
        <w:bottom w:val="none" w:sz="0" w:space="0" w:color="auto"/>
        <w:right w:val="none" w:sz="0" w:space="0" w:color="auto"/>
      </w:divBdr>
    </w:div>
    <w:div w:id="1049114788">
      <w:bodyDiv w:val="1"/>
      <w:marLeft w:val="0"/>
      <w:marRight w:val="0"/>
      <w:marTop w:val="0"/>
      <w:marBottom w:val="0"/>
      <w:divBdr>
        <w:top w:val="none" w:sz="0" w:space="0" w:color="auto"/>
        <w:left w:val="none" w:sz="0" w:space="0" w:color="auto"/>
        <w:bottom w:val="none" w:sz="0" w:space="0" w:color="auto"/>
        <w:right w:val="none" w:sz="0" w:space="0" w:color="auto"/>
      </w:divBdr>
    </w:div>
    <w:div w:id="1064377500">
      <w:bodyDiv w:val="1"/>
      <w:marLeft w:val="0"/>
      <w:marRight w:val="0"/>
      <w:marTop w:val="0"/>
      <w:marBottom w:val="0"/>
      <w:divBdr>
        <w:top w:val="none" w:sz="0" w:space="0" w:color="auto"/>
        <w:left w:val="none" w:sz="0" w:space="0" w:color="auto"/>
        <w:bottom w:val="none" w:sz="0" w:space="0" w:color="auto"/>
        <w:right w:val="none" w:sz="0" w:space="0" w:color="auto"/>
      </w:divBdr>
    </w:div>
    <w:div w:id="1076436829">
      <w:bodyDiv w:val="1"/>
      <w:marLeft w:val="0"/>
      <w:marRight w:val="0"/>
      <w:marTop w:val="0"/>
      <w:marBottom w:val="0"/>
      <w:divBdr>
        <w:top w:val="none" w:sz="0" w:space="0" w:color="auto"/>
        <w:left w:val="none" w:sz="0" w:space="0" w:color="auto"/>
        <w:bottom w:val="none" w:sz="0" w:space="0" w:color="auto"/>
        <w:right w:val="none" w:sz="0" w:space="0" w:color="auto"/>
      </w:divBdr>
    </w:div>
    <w:div w:id="1096174133">
      <w:bodyDiv w:val="1"/>
      <w:marLeft w:val="0"/>
      <w:marRight w:val="0"/>
      <w:marTop w:val="0"/>
      <w:marBottom w:val="0"/>
      <w:divBdr>
        <w:top w:val="none" w:sz="0" w:space="0" w:color="auto"/>
        <w:left w:val="none" w:sz="0" w:space="0" w:color="auto"/>
        <w:bottom w:val="none" w:sz="0" w:space="0" w:color="auto"/>
        <w:right w:val="none" w:sz="0" w:space="0" w:color="auto"/>
      </w:divBdr>
    </w:div>
    <w:div w:id="1112746983">
      <w:bodyDiv w:val="1"/>
      <w:marLeft w:val="0"/>
      <w:marRight w:val="0"/>
      <w:marTop w:val="0"/>
      <w:marBottom w:val="0"/>
      <w:divBdr>
        <w:top w:val="none" w:sz="0" w:space="0" w:color="auto"/>
        <w:left w:val="none" w:sz="0" w:space="0" w:color="auto"/>
        <w:bottom w:val="none" w:sz="0" w:space="0" w:color="auto"/>
        <w:right w:val="none" w:sz="0" w:space="0" w:color="auto"/>
      </w:divBdr>
    </w:div>
    <w:div w:id="1129469549">
      <w:bodyDiv w:val="1"/>
      <w:marLeft w:val="0"/>
      <w:marRight w:val="0"/>
      <w:marTop w:val="0"/>
      <w:marBottom w:val="0"/>
      <w:divBdr>
        <w:top w:val="none" w:sz="0" w:space="0" w:color="auto"/>
        <w:left w:val="none" w:sz="0" w:space="0" w:color="auto"/>
        <w:bottom w:val="none" w:sz="0" w:space="0" w:color="auto"/>
        <w:right w:val="none" w:sz="0" w:space="0" w:color="auto"/>
      </w:divBdr>
    </w:div>
    <w:div w:id="1149900193">
      <w:bodyDiv w:val="1"/>
      <w:marLeft w:val="0"/>
      <w:marRight w:val="0"/>
      <w:marTop w:val="0"/>
      <w:marBottom w:val="0"/>
      <w:divBdr>
        <w:top w:val="none" w:sz="0" w:space="0" w:color="auto"/>
        <w:left w:val="none" w:sz="0" w:space="0" w:color="auto"/>
        <w:bottom w:val="none" w:sz="0" w:space="0" w:color="auto"/>
        <w:right w:val="none" w:sz="0" w:space="0" w:color="auto"/>
      </w:divBdr>
    </w:div>
    <w:div w:id="1165625750">
      <w:bodyDiv w:val="1"/>
      <w:marLeft w:val="0"/>
      <w:marRight w:val="0"/>
      <w:marTop w:val="0"/>
      <w:marBottom w:val="0"/>
      <w:divBdr>
        <w:top w:val="none" w:sz="0" w:space="0" w:color="auto"/>
        <w:left w:val="none" w:sz="0" w:space="0" w:color="auto"/>
        <w:bottom w:val="none" w:sz="0" w:space="0" w:color="auto"/>
        <w:right w:val="none" w:sz="0" w:space="0" w:color="auto"/>
      </w:divBdr>
    </w:div>
    <w:div w:id="1186484657">
      <w:bodyDiv w:val="1"/>
      <w:marLeft w:val="0"/>
      <w:marRight w:val="0"/>
      <w:marTop w:val="0"/>
      <w:marBottom w:val="0"/>
      <w:divBdr>
        <w:top w:val="none" w:sz="0" w:space="0" w:color="auto"/>
        <w:left w:val="none" w:sz="0" w:space="0" w:color="auto"/>
        <w:bottom w:val="none" w:sz="0" w:space="0" w:color="auto"/>
        <w:right w:val="none" w:sz="0" w:space="0" w:color="auto"/>
      </w:divBdr>
    </w:div>
    <w:div w:id="1199515643">
      <w:bodyDiv w:val="1"/>
      <w:marLeft w:val="0"/>
      <w:marRight w:val="0"/>
      <w:marTop w:val="0"/>
      <w:marBottom w:val="0"/>
      <w:divBdr>
        <w:top w:val="none" w:sz="0" w:space="0" w:color="auto"/>
        <w:left w:val="none" w:sz="0" w:space="0" w:color="auto"/>
        <w:bottom w:val="none" w:sz="0" w:space="0" w:color="auto"/>
        <w:right w:val="none" w:sz="0" w:space="0" w:color="auto"/>
      </w:divBdr>
    </w:div>
    <w:div w:id="1225288279">
      <w:bodyDiv w:val="1"/>
      <w:marLeft w:val="0"/>
      <w:marRight w:val="0"/>
      <w:marTop w:val="0"/>
      <w:marBottom w:val="0"/>
      <w:divBdr>
        <w:top w:val="none" w:sz="0" w:space="0" w:color="auto"/>
        <w:left w:val="none" w:sz="0" w:space="0" w:color="auto"/>
        <w:bottom w:val="none" w:sz="0" w:space="0" w:color="auto"/>
        <w:right w:val="none" w:sz="0" w:space="0" w:color="auto"/>
      </w:divBdr>
    </w:div>
    <w:div w:id="1230189631">
      <w:bodyDiv w:val="1"/>
      <w:marLeft w:val="0"/>
      <w:marRight w:val="0"/>
      <w:marTop w:val="0"/>
      <w:marBottom w:val="0"/>
      <w:divBdr>
        <w:top w:val="none" w:sz="0" w:space="0" w:color="auto"/>
        <w:left w:val="none" w:sz="0" w:space="0" w:color="auto"/>
        <w:bottom w:val="none" w:sz="0" w:space="0" w:color="auto"/>
        <w:right w:val="none" w:sz="0" w:space="0" w:color="auto"/>
      </w:divBdr>
    </w:div>
    <w:div w:id="1248728228">
      <w:bodyDiv w:val="1"/>
      <w:marLeft w:val="0"/>
      <w:marRight w:val="0"/>
      <w:marTop w:val="0"/>
      <w:marBottom w:val="0"/>
      <w:divBdr>
        <w:top w:val="none" w:sz="0" w:space="0" w:color="auto"/>
        <w:left w:val="none" w:sz="0" w:space="0" w:color="auto"/>
        <w:bottom w:val="none" w:sz="0" w:space="0" w:color="auto"/>
        <w:right w:val="none" w:sz="0" w:space="0" w:color="auto"/>
      </w:divBdr>
    </w:div>
    <w:div w:id="1278485725">
      <w:bodyDiv w:val="1"/>
      <w:marLeft w:val="0"/>
      <w:marRight w:val="0"/>
      <w:marTop w:val="0"/>
      <w:marBottom w:val="0"/>
      <w:divBdr>
        <w:top w:val="none" w:sz="0" w:space="0" w:color="auto"/>
        <w:left w:val="none" w:sz="0" w:space="0" w:color="auto"/>
        <w:bottom w:val="none" w:sz="0" w:space="0" w:color="auto"/>
        <w:right w:val="none" w:sz="0" w:space="0" w:color="auto"/>
      </w:divBdr>
    </w:div>
    <w:div w:id="1283878649">
      <w:bodyDiv w:val="1"/>
      <w:marLeft w:val="0"/>
      <w:marRight w:val="0"/>
      <w:marTop w:val="0"/>
      <w:marBottom w:val="0"/>
      <w:divBdr>
        <w:top w:val="none" w:sz="0" w:space="0" w:color="auto"/>
        <w:left w:val="none" w:sz="0" w:space="0" w:color="auto"/>
        <w:bottom w:val="none" w:sz="0" w:space="0" w:color="auto"/>
        <w:right w:val="none" w:sz="0" w:space="0" w:color="auto"/>
      </w:divBdr>
    </w:div>
    <w:div w:id="1292512808">
      <w:bodyDiv w:val="1"/>
      <w:marLeft w:val="0"/>
      <w:marRight w:val="0"/>
      <w:marTop w:val="0"/>
      <w:marBottom w:val="0"/>
      <w:divBdr>
        <w:top w:val="none" w:sz="0" w:space="0" w:color="auto"/>
        <w:left w:val="none" w:sz="0" w:space="0" w:color="auto"/>
        <w:bottom w:val="none" w:sz="0" w:space="0" w:color="auto"/>
        <w:right w:val="none" w:sz="0" w:space="0" w:color="auto"/>
      </w:divBdr>
    </w:div>
    <w:div w:id="1293826787">
      <w:bodyDiv w:val="1"/>
      <w:marLeft w:val="0"/>
      <w:marRight w:val="0"/>
      <w:marTop w:val="0"/>
      <w:marBottom w:val="0"/>
      <w:divBdr>
        <w:top w:val="none" w:sz="0" w:space="0" w:color="auto"/>
        <w:left w:val="none" w:sz="0" w:space="0" w:color="auto"/>
        <w:bottom w:val="none" w:sz="0" w:space="0" w:color="auto"/>
        <w:right w:val="none" w:sz="0" w:space="0" w:color="auto"/>
      </w:divBdr>
    </w:div>
    <w:div w:id="1345353531">
      <w:bodyDiv w:val="1"/>
      <w:marLeft w:val="0"/>
      <w:marRight w:val="0"/>
      <w:marTop w:val="0"/>
      <w:marBottom w:val="0"/>
      <w:divBdr>
        <w:top w:val="none" w:sz="0" w:space="0" w:color="auto"/>
        <w:left w:val="none" w:sz="0" w:space="0" w:color="auto"/>
        <w:bottom w:val="none" w:sz="0" w:space="0" w:color="auto"/>
        <w:right w:val="none" w:sz="0" w:space="0" w:color="auto"/>
      </w:divBdr>
    </w:div>
    <w:div w:id="1348170238">
      <w:bodyDiv w:val="1"/>
      <w:marLeft w:val="0"/>
      <w:marRight w:val="0"/>
      <w:marTop w:val="0"/>
      <w:marBottom w:val="0"/>
      <w:divBdr>
        <w:top w:val="none" w:sz="0" w:space="0" w:color="auto"/>
        <w:left w:val="none" w:sz="0" w:space="0" w:color="auto"/>
        <w:bottom w:val="none" w:sz="0" w:space="0" w:color="auto"/>
        <w:right w:val="none" w:sz="0" w:space="0" w:color="auto"/>
      </w:divBdr>
    </w:div>
    <w:div w:id="1351876644">
      <w:bodyDiv w:val="1"/>
      <w:marLeft w:val="0"/>
      <w:marRight w:val="0"/>
      <w:marTop w:val="0"/>
      <w:marBottom w:val="0"/>
      <w:divBdr>
        <w:top w:val="none" w:sz="0" w:space="0" w:color="auto"/>
        <w:left w:val="none" w:sz="0" w:space="0" w:color="auto"/>
        <w:bottom w:val="none" w:sz="0" w:space="0" w:color="auto"/>
        <w:right w:val="none" w:sz="0" w:space="0" w:color="auto"/>
      </w:divBdr>
    </w:div>
    <w:div w:id="1356347246">
      <w:bodyDiv w:val="1"/>
      <w:marLeft w:val="0"/>
      <w:marRight w:val="0"/>
      <w:marTop w:val="0"/>
      <w:marBottom w:val="0"/>
      <w:divBdr>
        <w:top w:val="none" w:sz="0" w:space="0" w:color="auto"/>
        <w:left w:val="none" w:sz="0" w:space="0" w:color="auto"/>
        <w:bottom w:val="none" w:sz="0" w:space="0" w:color="auto"/>
        <w:right w:val="none" w:sz="0" w:space="0" w:color="auto"/>
      </w:divBdr>
    </w:div>
    <w:div w:id="1358043994">
      <w:bodyDiv w:val="1"/>
      <w:marLeft w:val="0"/>
      <w:marRight w:val="0"/>
      <w:marTop w:val="0"/>
      <w:marBottom w:val="0"/>
      <w:divBdr>
        <w:top w:val="none" w:sz="0" w:space="0" w:color="auto"/>
        <w:left w:val="none" w:sz="0" w:space="0" w:color="auto"/>
        <w:bottom w:val="none" w:sz="0" w:space="0" w:color="auto"/>
        <w:right w:val="none" w:sz="0" w:space="0" w:color="auto"/>
      </w:divBdr>
    </w:div>
    <w:div w:id="1382243285">
      <w:bodyDiv w:val="1"/>
      <w:marLeft w:val="0"/>
      <w:marRight w:val="0"/>
      <w:marTop w:val="0"/>
      <w:marBottom w:val="0"/>
      <w:divBdr>
        <w:top w:val="none" w:sz="0" w:space="0" w:color="auto"/>
        <w:left w:val="none" w:sz="0" w:space="0" w:color="auto"/>
        <w:bottom w:val="none" w:sz="0" w:space="0" w:color="auto"/>
        <w:right w:val="none" w:sz="0" w:space="0" w:color="auto"/>
      </w:divBdr>
    </w:div>
    <w:div w:id="1383216720">
      <w:bodyDiv w:val="1"/>
      <w:marLeft w:val="0"/>
      <w:marRight w:val="0"/>
      <w:marTop w:val="0"/>
      <w:marBottom w:val="0"/>
      <w:divBdr>
        <w:top w:val="none" w:sz="0" w:space="0" w:color="auto"/>
        <w:left w:val="none" w:sz="0" w:space="0" w:color="auto"/>
        <w:bottom w:val="none" w:sz="0" w:space="0" w:color="auto"/>
        <w:right w:val="none" w:sz="0" w:space="0" w:color="auto"/>
      </w:divBdr>
    </w:div>
    <w:div w:id="1391461498">
      <w:bodyDiv w:val="1"/>
      <w:marLeft w:val="0"/>
      <w:marRight w:val="0"/>
      <w:marTop w:val="0"/>
      <w:marBottom w:val="0"/>
      <w:divBdr>
        <w:top w:val="none" w:sz="0" w:space="0" w:color="auto"/>
        <w:left w:val="none" w:sz="0" w:space="0" w:color="auto"/>
        <w:bottom w:val="none" w:sz="0" w:space="0" w:color="auto"/>
        <w:right w:val="none" w:sz="0" w:space="0" w:color="auto"/>
      </w:divBdr>
    </w:div>
    <w:div w:id="1411006651">
      <w:bodyDiv w:val="1"/>
      <w:marLeft w:val="0"/>
      <w:marRight w:val="0"/>
      <w:marTop w:val="0"/>
      <w:marBottom w:val="0"/>
      <w:divBdr>
        <w:top w:val="none" w:sz="0" w:space="0" w:color="auto"/>
        <w:left w:val="none" w:sz="0" w:space="0" w:color="auto"/>
        <w:bottom w:val="none" w:sz="0" w:space="0" w:color="auto"/>
        <w:right w:val="none" w:sz="0" w:space="0" w:color="auto"/>
      </w:divBdr>
    </w:div>
    <w:div w:id="1420517941">
      <w:bodyDiv w:val="1"/>
      <w:marLeft w:val="0"/>
      <w:marRight w:val="0"/>
      <w:marTop w:val="0"/>
      <w:marBottom w:val="0"/>
      <w:divBdr>
        <w:top w:val="none" w:sz="0" w:space="0" w:color="auto"/>
        <w:left w:val="none" w:sz="0" w:space="0" w:color="auto"/>
        <w:bottom w:val="none" w:sz="0" w:space="0" w:color="auto"/>
        <w:right w:val="none" w:sz="0" w:space="0" w:color="auto"/>
      </w:divBdr>
    </w:div>
    <w:div w:id="1426464019">
      <w:bodyDiv w:val="1"/>
      <w:marLeft w:val="0"/>
      <w:marRight w:val="0"/>
      <w:marTop w:val="0"/>
      <w:marBottom w:val="0"/>
      <w:divBdr>
        <w:top w:val="none" w:sz="0" w:space="0" w:color="auto"/>
        <w:left w:val="none" w:sz="0" w:space="0" w:color="auto"/>
        <w:bottom w:val="none" w:sz="0" w:space="0" w:color="auto"/>
        <w:right w:val="none" w:sz="0" w:space="0" w:color="auto"/>
      </w:divBdr>
    </w:div>
    <w:div w:id="1435058853">
      <w:bodyDiv w:val="1"/>
      <w:marLeft w:val="0"/>
      <w:marRight w:val="0"/>
      <w:marTop w:val="0"/>
      <w:marBottom w:val="0"/>
      <w:divBdr>
        <w:top w:val="none" w:sz="0" w:space="0" w:color="auto"/>
        <w:left w:val="none" w:sz="0" w:space="0" w:color="auto"/>
        <w:bottom w:val="none" w:sz="0" w:space="0" w:color="auto"/>
        <w:right w:val="none" w:sz="0" w:space="0" w:color="auto"/>
      </w:divBdr>
    </w:div>
    <w:div w:id="1436946308">
      <w:bodyDiv w:val="1"/>
      <w:marLeft w:val="0"/>
      <w:marRight w:val="0"/>
      <w:marTop w:val="0"/>
      <w:marBottom w:val="0"/>
      <w:divBdr>
        <w:top w:val="none" w:sz="0" w:space="0" w:color="auto"/>
        <w:left w:val="none" w:sz="0" w:space="0" w:color="auto"/>
        <w:bottom w:val="none" w:sz="0" w:space="0" w:color="auto"/>
        <w:right w:val="none" w:sz="0" w:space="0" w:color="auto"/>
      </w:divBdr>
    </w:div>
    <w:div w:id="1444769995">
      <w:bodyDiv w:val="1"/>
      <w:marLeft w:val="0"/>
      <w:marRight w:val="0"/>
      <w:marTop w:val="0"/>
      <w:marBottom w:val="0"/>
      <w:divBdr>
        <w:top w:val="none" w:sz="0" w:space="0" w:color="auto"/>
        <w:left w:val="none" w:sz="0" w:space="0" w:color="auto"/>
        <w:bottom w:val="none" w:sz="0" w:space="0" w:color="auto"/>
        <w:right w:val="none" w:sz="0" w:space="0" w:color="auto"/>
      </w:divBdr>
    </w:div>
    <w:div w:id="1462571739">
      <w:bodyDiv w:val="1"/>
      <w:marLeft w:val="0"/>
      <w:marRight w:val="0"/>
      <w:marTop w:val="0"/>
      <w:marBottom w:val="0"/>
      <w:divBdr>
        <w:top w:val="none" w:sz="0" w:space="0" w:color="auto"/>
        <w:left w:val="none" w:sz="0" w:space="0" w:color="auto"/>
        <w:bottom w:val="none" w:sz="0" w:space="0" w:color="auto"/>
        <w:right w:val="none" w:sz="0" w:space="0" w:color="auto"/>
      </w:divBdr>
    </w:div>
    <w:div w:id="1466971192">
      <w:bodyDiv w:val="1"/>
      <w:marLeft w:val="0"/>
      <w:marRight w:val="0"/>
      <w:marTop w:val="0"/>
      <w:marBottom w:val="0"/>
      <w:divBdr>
        <w:top w:val="none" w:sz="0" w:space="0" w:color="auto"/>
        <w:left w:val="none" w:sz="0" w:space="0" w:color="auto"/>
        <w:bottom w:val="none" w:sz="0" w:space="0" w:color="auto"/>
        <w:right w:val="none" w:sz="0" w:space="0" w:color="auto"/>
      </w:divBdr>
    </w:div>
    <w:div w:id="1468888709">
      <w:bodyDiv w:val="1"/>
      <w:marLeft w:val="0"/>
      <w:marRight w:val="0"/>
      <w:marTop w:val="0"/>
      <w:marBottom w:val="0"/>
      <w:divBdr>
        <w:top w:val="none" w:sz="0" w:space="0" w:color="auto"/>
        <w:left w:val="none" w:sz="0" w:space="0" w:color="auto"/>
        <w:bottom w:val="none" w:sz="0" w:space="0" w:color="auto"/>
        <w:right w:val="none" w:sz="0" w:space="0" w:color="auto"/>
      </w:divBdr>
    </w:div>
    <w:div w:id="1480079337">
      <w:bodyDiv w:val="1"/>
      <w:marLeft w:val="0"/>
      <w:marRight w:val="0"/>
      <w:marTop w:val="0"/>
      <w:marBottom w:val="0"/>
      <w:divBdr>
        <w:top w:val="none" w:sz="0" w:space="0" w:color="auto"/>
        <w:left w:val="none" w:sz="0" w:space="0" w:color="auto"/>
        <w:bottom w:val="none" w:sz="0" w:space="0" w:color="auto"/>
        <w:right w:val="none" w:sz="0" w:space="0" w:color="auto"/>
      </w:divBdr>
    </w:div>
    <w:div w:id="1492016287">
      <w:bodyDiv w:val="1"/>
      <w:marLeft w:val="0"/>
      <w:marRight w:val="0"/>
      <w:marTop w:val="0"/>
      <w:marBottom w:val="0"/>
      <w:divBdr>
        <w:top w:val="none" w:sz="0" w:space="0" w:color="auto"/>
        <w:left w:val="none" w:sz="0" w:space="0" w:color="auto"/>
        <w:bottom w:val="none" w:sz="0" w:space="0" w:color="auto"/>
        <w:right w:val="none" w:sz="0" w:space="0" w:color="auto"/>
      </w:divBdr>
    </w:div>
    <w:div w:id="1510683261">
      <w:bodyDiv w:val="1"/>
      <w:marLeft w:val="0"/>
      <w:marRight w:val="0"/>
      <w:marTop w:val="0"/>
      <w:marBottom w:val="0"/>
      <w:divBdr>
        <w:top w:val="none" w:sz="0" w:space="0" w:color="auto"/>
        <w:left w:val="none" w:sz="0" w:space="0" w:color="auto"/>
        <w:bottom w:val="none" w:sz="0" w:space="0" w:color="auto"/>
        <w:right w:val="none" w:sz="0" w:space="0" w:color="auto"/>
      </w:divBdr>
    </w:div>
    <w:div w:id="1516767185">
      <w:bodyDiv w:val="1"/>
      <w:marLeft w:val="0"/>
      <w:marRight w:val="0"/>
      <w:marTop w:val="0"/>
      <w:marBottom w:val="0"/>
      <w:divBdr>
        <w:top w:val="none" w:sz="0" w:space="0" w:color="auto"/>
        <w:left w:val="none" w:sz="0" w:space="0" w:color="auto"/>
        <w:bottom w:val="none" w:sz="0" w:space="0" w:color="auto"/>
        <w:right w:val="none" w:sz="0" w:space="0" w:color="auto"/>
      </w:divBdr>
    </w:div>
    <w:div w:id="1551305061">
      <w:bodyDiv w:val="1"/>
      <w:marLeft w:val="0"/>
      <w:marRight w:val="0"/>
      <w:marTop w:val="0"/>
      <w:marBottom w:val="0"/>
      <w:divBdr>
        <w:top w:val="none" w:sz="0" w:space="0" w:color="auto"/>
        <w:left w:val="none" w:sz="0" w:space="0" w:color="auto"/>
        <w:bottom w:val="none" w:sz="0" w:space="0" w:color="auto"/>
        <w:right w:val="none" w:sz="0" w:space="0" w:color="auto"/>
      </w:divBdr>
    </w:div>
    <w:div w:id="1565144127">
      <w:bodyDiv w:val="1"/>
      <w:marLeft w:val="0"/>
      <w:marRight w:val="0"/>
      <w:marTop w:val="0"/>
      <w:marBottom w:val="0"/>
      <w:divBdr>
        <w:top w:val="none" w:sz="0" w:space="0" w:color="auto"/>
        <w:left w:val="none" w:sz="0" w:space="0" w:color="auto"/>
        <w:bottom w:val="none" w:sz="0" w:space="0" w:color="auto"/>
        <w:right w:val="none" w:sz="0" w:space="0" w:color="auto"/>
      </w:divBdr>
    </w:div>
    <w:div w:id="1566450767">
      <w:bodyDiv w:val="1"/>
      <w:marLeft w:val="0"/>
      <w:marRight w:val="0"/>
      <w:marTop w:val="0"/>
      <w:marBottom w:val="0"/>
      <w:divBdr>
        <w:top w:val="none" w:sz="0" w:space="0" w:color="auto"/>
        <w:left w:val="none" w:sz="0" w:space="0" w:color="auto"/>
        <w:bottom w:val="none" w:sz="0" w:space="0" w:color="auto"/>
        <w:right w:val="none" w:sz="0" w:space="0" w:color="auto"/>
      </w:divBdr>
    </w:div>
    <w:div w:id="1633822791">
      <w:bodyDiv w:val="1"/>
      <w:marLeft w:val="0"/>
      <w:marRight w:val="0"/>
      <w:marTop w:val="0"/>
      <w:marBottom w:val="0"/>
      <w:divBdr>
        <w:top w:val="none" w:sz="0" w:space="0" w:color="auto"/>
        <w:left w:val="none" w:sz="0" w:space="0" w:color="auto"/>
        <w:bottom w:val="none" w:sz="0" w:space="0" w:color="auto"/>
        <w:right w:val="none" w:sz="0" w:space="0" w:color="auto"/>
      </w:divBdr>
    </w:div>
    <w:div w:id="1644113874">
      <w:bodyDiv w:val="1"/>
      <w:marLeft w:val="0"/>
      <w:marRight w:val="0"/>
      <w:marTop w:val="0"/>
      <w:marBottom w:val="0"/>
      <w:divBdr>
        <w:top w:val="none" w:sz="0" w:space="0" w:color="auto"/>
        <w:left w:val="none" w:sz="0" w:space="0" w:color="auto"/>
        <w:bottom w:val="none" w:sz="0" w:space="0" w:color="auto"/>
        <w:right w:val="none" w:sz="0" w:space="0" w:color="auto"/>
      </w:divBdr>
    </w:div>
    <w:div w:id="1654063533">
      <w:bodyDiv w:val="1"/>
      <w:marLeft w:val="0"/>
      <w:marRight w:val="0"/>
      <w:marTop w:val="0"/>
      <w:marBottom w:val="0"/>
      <w:divBdr>
        <w:top w:val="none" w:sz="0" w:space="0" w:color="auto"/>
        <w:left w:val="none" w:sz="0" w:space="0" w:color="auto"/>
        <w:bottom w:val="none" w:sz="0" w:space="0" w:color="auto"/>
        <w:right w:val="none" w:sz="0" w:space="0" w:color="auto"/>
      </w:divBdr>
    </w:div>
    <w:div w:id="1715345519">
      <w:bodyDiv w:val="1"/>
      <w:marLeft w:val="0"/>
      <w:marRight w:val="0"/>
      <w:marTop w:val="0"/>
      <w:marBottom w:val="0"/>
      <w:divBdr>
        <w:top w:val="none" w:sz="0" w:space="0" w:color="auto"/>
        <w:left w:val="none" w:sz="0" w:space="0" w:color="auto"/>
        <w:bottom w:val="none" w:sz="0" w:space="0" w:color="auto"/>
        <w:right w:val="none" w:sz="0" w:space="0" w:color="auto"/>
      </w:divBdr>
    </w:div>
    <w:div w:id="1717774513">
      <w:bodyDiv w:val="1"/>
      <w:marLeft w:val="0"/>
      <w:marRight w:val="0"/>
      <w:marTop w:val="0"/>
      <w:marBottom w:val="0"/>
      <w:divBdr>
        <w:top w:val="none" w:sz="0" w:space="0" w:color="auto"/>
        <w:left w:val="none" w:sz="0" w:space="0" w:color="auto"/>
        <w:bottom w:val="none" w:sz="0" w:space="0" w:color="auto"/>
        <w:right w:val="none" w:sz="0" w:space="0" w:color="auto"/>
      </w:divBdr>
    </w:div>
    <w:div w:id="1743915223">
      <w:bodyDiv w:val="1"/>
      <w:marLeft w:val="0"/>
      <w:marRight w:val="0"/>
      <w:marTop w:val="0"/>
      <w:marBottom w:val="0"/>
      <w:divBdr>
        <w:top w:val="none" w:sz="0" w:space="0" w:color="auto"/>
        <w:left w:val="none" w:sz="0" w:space="0" w:color="auto"/>
        <w:bottom w:val="none" w:sz="0" w:space="0" w:color="auto"/>
        <w:right w:val="none" w:sz="0" w:space="0" w:color="auto"/>
      </w:divBdr>
    </w:div>
    <w:div w:id="1782799269">
      <w:bodyDiv w:val="1"/>
      <w:marLeft w:val="0"/>
      <w:marRight w:val="0"/>
      <w:marTop w:val="0"/>
      <w:marBottom w:val="0"/>
      <w:divBdr>
        <w:top w:val="none" w:sz="0" w:space="0" w:color="auto"/>
        <w:left w:val="none" w:sz="0" w:space="0" w:color="auto"/>
        <w:bottom w:val="none" w:sz="0" w:space="0" w:color="auto"/>
        <w:right w:val="none" w:sz="0" w:space="0" w:color="auto"/>
      </w:divBdr>
    </w:div>
    <w:div w:id="1787313658">
      <w:bodyDiv w:val="1"/>
      <w:marLeft w:val="0"/>
      <w:marRight w:val="0"/>
      <w:marTop w:val="0"/>
      <w:marBottom w:val="0"/>
      <w:divBdr>
        <w:top w:val="none" w:sz="0" w:space="0" w:color="auto"/>
        <w:left w:val="none" w:sz="0" w:space="0" w:color="auto"/>
        <w:bottom w:val="none" w:sz="0" w:space="0" w:color="auto"/>
        <w:right w:val="none" w:sz="0" w:space="0" w:color="auto"/>
      </w:divBdr>
    </w:div>
    <w:div w:id="1794640848">
      <w:bodyDiv w:val="1"/>
      <w:marLeft w:val="0"/>
      <w:marRight w:val="0"/>
      <w:marTop w:val="0"/>
      <w:marBottom w:val="0"/>
      <w:divBdr>
        <w:top w:val="none" w:sz="0" w:space="0" w:color="auto"/>
        <w:left w:val="none" w:sz="0" w:space="0" w:color="auto"/>
        <w:bottom w:val="none" w:sz="0" w:space="0" w:color="auto"/>
        <w:right w:val="none" w:sz="0" w:space="0" w:color="auto"/>
      </w:divBdr>
    </w:div>
    <w:div w:id="1831628705">
      <w:bodyDiv w:val="1"/>
      <w:marLeft w:val="0"/>
      <w:marRight w:val="0"/>
      <w:marTop w:val="0"/>
      <w:marBottom w:val="0"/>
      <w:divBdr>
        <w:top w:val="none" w:sz="0" w:space="0" w:color="auto"/>
        <w:left w:val="none" w:sz="0" w:space="0" w:color="auto"/>
        <w:bottom w:val="none" w:sz="0" w:space="0" w:color="auto"/>
        <w:right w:val="none" w:sz="0" w:space="0" w:color="auto"/>
      </w:divBdr>
    </w:div>
    <w:div w:id="1833061844">
      <w:bodyDiv w:val="1"/>
      <w:marLeft w:val="0"/>
      <w:marRight w:val="0"/>
      <w:marTop w:val="0"/>
      <w:marBottom w:val="0"/>
      <w:divBdr>
        <w:top w:val="none" w:sz="0" w:space="0" w:color="auto"/>
        <w:left w:val="none" w:sz="0" w:space="0" w:color="auto"/>
        <w:bottom w:val="none" w:sz="0" w:space="0" w:color="auto"/>
        <w:right w:val="none" w:sz="0" w:space="0" w:color="auto"/>
      </w:divBdr>
    </w:div>
    <w:div w:id="1834446128">
      <w:bodyDiv w:val="1"/>
      <w:marLeft w:val="0"/>
      <w:marRight w:val="0"/>
      <w:marTop w:val="0"/>
      <w:marBottom w:val="0"/>
      <w:divBdr>
        <w:top w:val="none" w:sz="0" w:space="0" w:color="auto"/>
        <w:left w:val="none" w:sz="0" w:space="0" w:color="auto"/>
        <w:bottom w:val="none" w:sz="0" w:space="0" w:color="auto"/>
        <w:right w:val="none" w:sz="0" w:space="0" w:color="auto"/>
      </w:divBdr>
      <w:divsChild>
        <w:div w:id="1152451273">
          <w:marLeft w:val="0"/>
          <w:marRight w:val="0"/>
          <w:marTop w:val="0"/>
          <w:marBottom w:val="0"/>
          <w:divBdr>
            <w:top w:val="none" w:sz="0" w:space="0" w:color="auto"/>
            <w:left w:val="none" w:sz="0" w:space="0" w:color="auto"/>
            <w:bottom w:val="none" w:sz="0" w:space="0" w:color="auto"/>
            <w:right w:val="none" w:sz="0" w:space="0" w:color="auto"/>
          </w:divBdr>
          <w:divsChild>
            <w:div w:id="448669610">
              <w:marLeft w:val="0"/>
              <w:marRight w:val="0"/>
              <w:marTop w:val="0"/>
              <w:marBottom w:val="0"/>
              <w:divBdr>
                <w:top w:val="none" w:sz="0" w:space="0" w:color="auto"/>
                <w:left w:val="none" w:sz="0" w:space="0" w:color="auto"/>
                <w:bottom w:val="none" w:sz="0" w:space="0" w:color="auto"/>
                <w:right w:val="none" w:sz="0" w:space="0" w:color="auto"/>
              </w:divBdr>
              <w:divsChild>
                <w:div w:id="1923949297">
                  <w:marLeft w:val="0"/>
                  <w:marRight w:val="0"/>
                  <w:marTop w:val="0"/>
                  <w:marBottom w:val="0"/>
                  <w:divBdr>
                    <w:top w:val="none" w:sz="0" w:space="0" w:color="auto"/>
                    <w:left w:val="none" w:sz="0" w:space="0" w:color="auto"/>
                    <w:bottom w:val="none" w:sz="0" w:space="0" w:color="auto"/>
                    <w:right w:val="none" w:sz="0" w:space="0" w:color="auto"/>
                  </w:divBdr>
                  <w:divsChild>
                    <w:div w:id="1603874122">
                      <w:marLeft w:val="0"/>
                      <w:marRight w:val="0"/>
                      <w:marTop w:val="0"/>
                      <w:marBottom w:val="0"/>
                      <w:divBdr>
                        <w:top w:val="none" w:sz="0" w:space="0" w:color="auto"/>
                        <w:left w:val="none" w:sz="0" w:space="0" w:color="auto"/>
                        <w:bottom w:val="none" w:sz="0" w:space="0" w:color="auto"/>
                        <w:right w:val="none" w:sz="0" w:space="0" w:color="auto"/>
                      </w:divBdr>
                      <w:divsChild>
                        <w:div w:id="922564381">
                          <w:marLeft w:val="0"/>
                          <w:marRight w:val="0"/>
                          <w:marTop w:val="0"/>
                          <w:marBottom w:val="0"/>
                          <w:divBdr>
                            <w:top w:val="none" w:sz="0" w:space="0" w:color="auto"/>
                            <w:left w:val="none" w:sz="0" w:space="0" w:color="auto"/>
                            <w:bottom w:val="none" w:sz="0" w:space="0" w:color="auto"/>
                            <w:right w:val="none" w:sz="0" w:space="0" w:color="auto"/>
                          </w:divBdr>
                          <w:divsChild>
                            <w:div w:id="934901109">
                              <w:marLeft w:val="0"/>
                              <w:marRight w:val="0"/>
                              <w:marTop w:val="0"/>
                              <w:marBottom w:val="0"/>
                              <w:divBdr>
                                <w:top w:val="none" w:sz="0" w:space="0" w:color="auto"/>
                                <w:left w:val="none" w:sz="0" w:space="0" w:color="auto"/>
                                <w:bottom w:val="none" w:sz="0" w:space="0" w:color="auto"/>
                                <w:right w:val="none" w:sz="0" w:space="0" w:color="auto"/>
                              </w:divBdr>
                              <w:divsChild>
                                <w:div w:id="578321228">
                                  <w:marLeft w:val="0"/>
                                  <w:marRight w:val="0"/>
                                  <w:marTop w:val="0"/>
                                  <w:marBottom w:val="0"/>
                                  <w:divBdr>
                                    <w:top w:val="none" w:sz="0" w:space="0" w:color="auto"/>
                                    <w:left w:val="none" w:sz="0" w:space="0" w:color="auto"/>
                                    <w:bottom w:val="none" w:sz="0" w:space="0" w:color="auto"/>
                                    <w:right w:val="none" w:sz="0" w:space="0" w:color="auto"/>
                                  </w:divBdr>
                                  <w:divsChild>
                                    <w:div w:id="70202983">
                                      <w:marLeft w:val="0"/>
                                      <w:marRight w:val="0"/>
                                      <w:marTop w:val="0"/>
                                      <w:marBottom w:val="0"/>
                                      <w:divBdr>
                                        <w:top w:val="none" w:sz="0" w:space="0" w:color="auto"/>
                                        <w:left w:val="none" w:sz="0" w:space="0" w:color="auto"/>
                                        <w:bottom w:val="none" w:sz="0" w:space="0" w:color="auto"/>
                                        <w:right w:val="none" w:sz="0" w:space="0" w:color="auto"/>
                                      </w:divBdr>
                                      <w:divsChild>
                                        <w:div w:id="1261182855">
                                          <w:marLeft w:val="0"/>
                                          <w:marRight w:val="0"/>
                                          <w:marTop w:val="0"/>
                                          <w:marBottom w:val="495"/>
                                          <w:divBdr>
                                            <w:top w:val="none" w:sz="0" w:space="0" w:color="auto"/>
                                            <w:left w:val="none" w:sz="0" w:space="0" w:color="auto"/>
                                            <w:bottom w:val="none" w:sz="0" w:space="0" w:color="auto"/>
                                            <w:right w:val="none" w:sz="0" w:space="0" w:color="auto"/>
                                          </w:divBdr>
                                          <w:divsChild>
                                            <w:div w:id="76002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8903106">
      <w:bodyDiv w:val="1"/>
      <w:marLeft w:val="0"/>
      <w:marRight w:val="0"/>
      <w:marTop w:val="0"/>
      <w:marBottom w:val="0"/>
      <w:divBdr>
        <w:top w:val="none" w:sz="0" w:space="0" w:color="auto"/>
        <w:left w:val="none" w:sz="0" w:space="0" w:color="auto"/>
        <w:bottom w:val="none" w:sz="0" w:space="0" w:color="auto"/>
        <w:right w:val="none" w:sz="0" w:space="0" w:color="auto"/>
      </w:divBdr>
    </w:div>
    <w:div w:id="1857112760">
      <w:bodyDiv w:val="1"/>
      <w:marLeft w:val="0"/>
      <w:marRight w:val="0"/>
      <w:marTop w:val="0"/>
      <w:marBottom w:val="0"/>
      <w:divBdr>
        <w:top w:val="none" w:sz="0" w:space="0" w:color="auto"/>
        <w:left w:val="none" w:sz="0" w:space="0" w:color="auto"/>
        <w:bottom w:val="none" w:sz="0" w:space="0" w:color="auto"/>
        <w:right w:val="none" w:sz="0" w:space="0" w:color="auto"/>
      </w:divBdr>
    </w:div>
    <w:div w:id="1869636946">
      <w:bodyDiv w:val="1"/>
      <w:marLeft w:val="0"/>
      <w:marRight w:val="0"/>
      <w:marTop w:val="0"/>
      <w:marBottom w:val="0"/>
      <w:divBdr>
        <w:top w:val="none" w:sz="0" w:space="0" w:color="auto"/>
        <w:left w:val="none" w:sz="0" w:space="0" w:color="auto"/>
        <w:bottom w:val="none" w:sz="0" w:space="0" w:color="auto"/>
        <w:right w:val="none" w:sz="0" w:space="0" w:color="auto"/>
      </w:divBdr>
    </w:div>
    <w:div w:id="1874339447">
      <w:bodyDiv w:val="1"/>
      <w:marLeft w:val="0"/>
      <w:marRight w:val="0"/>
      <w:marTop w:val="0"/>
      <w:marBottom w:val="0"/>
      <w:divBdr>
        <w:top w:val="none" w:sz="0" w:space="0" w:color="auto"/>
        <w:left w:val="none" w:sz="0" w:space="0" w:color="auto"/>
        <w:bottom w:val="none" w:sz="0" w:space="0" w:color="auto"/>
        <w:right w:val="none" w:sz="0" w:space="0" w:color="auto"/>
      </w:divBdr>
    </w:div>
    <w:div w:id="1889491276">
      <w:bodyDiv w:val="1"/>
      <w:marLeft w:val="0"/>
      <w:marRight w:val="0"/>
      <w:marTop w:val="0"/>
      <w:marBottom w:val="0"/>
      <w:divBdr>
        <w:top w:val="none" w:sz="0" w:space="0" w:color="auto"/>
        <w:left w:val="none" w:sz="0" w:space="0" w:color="auto"/>
        <w:bottom w:val="none" w:sz="0" w:space="0" w:color="auto"/>
        <w:right w:val="none" w:sz="0" w:space="0" w:color="auto"/>
      </w:divBdr>
      <w:divsChild>
        <w:div w:id="1587106458">
          <w:marLeft w:val="0"/>
          <w:marRight w:val="0"/>
          <w:marTop w:val="0"/>
          <w:marBottom w:val="0"/>
          <w:divBdr>
            <w:top w:val="none" w:sz="0" w:space="0" w:color="auto"/>
            <w:left w:val="none" w:sz="0" w:space="0" w:color="auto"/>
            <w:bottom w:val="none" w:sz="0" w:space="0" w:color="auto"/>
            <w:right w:val="none" w:sz="0" w:space="0" w:color="auto"/>
          </w:divBdr>
          <w:divsChild>
            <w:div w:id="1866166532">
              <w:marLeft w:val="-272"/>
              <w:marRight w:val="0"/>
              <w:marTop w:val="0"/>
              <w:marBottom w:val="0"/>
              <w:divBdr>
                <w:top w:val="none" w:sz="0" w:space="0" w:color="auto"/>
                <w:left w:val="none" w:sz="0" w:space="0" w:color="auto"/>
                <w:bottom w:val="none" w:sz="0" w:space="0" w:color="auto"/>
                <w:right w:val="none" w:sz="0" w:space="0" w:color="auto"/>
              </w:divBdr>
              <w:divsChild>
                <w:div w:id="801845738">
                  <w:marLeft w:val="0"/>
                  <w:marRight w:val="0"/>
                  <w:marTop w:val="0"/>
                  <w:marBottom w:val="0"/>
                  <w:divBdr>
                    <w:top w:val="none" w:sz="0" w:space="0" w:color="auto"/>
                    <w:left w:val="none" w:sz="0" w:space="0" w:color="auto"/>
                    <w:bottom w:val="none" w:sz="0" w:space="0" w:color="auto"/>
                    <w:right w:val="none" w:sz="0" w:space="0" w:color="auto"/>
                  </w:divBdr>
                  <w:divsChild>
                    <w:div w:id="1001350579">
                      <w:marLeft w:val="0"/>
                      <w:marRight w:val="0"/>
                      <w:marTop w:val="163"/>
                      <w:marBottom w:val="163"/>
                      <w:divBdr>
                        <w:top w:val="none" w:sz="0" w:space="0" w:color="auto"/>
                        <w:left w:val="none" w:sz="0" w:space="0" w:color="auto"/>
                        <w:bottom w:val="none" w:sz="0" w:space="0" w:color="auto"/>
                        <w:right w:val="none" w:sz="0" w:space="0" w:color="auto"/>
                      </w:divBdr>
                      <w:divsChild>
                        <w:div w:id="1984306243">
                          <w:marLeft w:val="0"/>
                          <w:marRight w:val="0"/>
                          <w:marTop w:val="204"/>
                          <w:marBottom w:val="204"/>
                          <w:divBdr>
                            <w:top w:val="none" w:sz="0" w:space="0" w:color="auto"/>
                            <w:left w:val="none" w:sz="0" w:space="0" w:color="auto"/>
                            <w:bottom w:val="none" w:sz="0" w:space="0" w:color="auto"/>
                            <w:right w:val="none" w:sz="0" w:space="0" w:color="auto"/>
                          </w:divBdr>
                          <w:divsChild>
                            <w:div w:id="2045057135">
                              <w:marLeft w:val="-272"/>
                              <w:marRight w:val="0"/>
                              <w:marTop w:val="0"/>
                              <w:marBottom w:val="0"/>
                              <w:divBdr>
                                <w:top w:val="none" w:sz="0" w:space="0" w:color="auto"/>
                                <w:left w:val="none" w:sz="0" w:space="0" w:color="auto"/>
                                <w:bottom w:val="none" w:sz="0" w:space="0" w:color="auto"/>
                                <w:right w:val="none" w:sz="0" w:space="0" w:color="auto"/>
                              </w:divBdr>
                              <w:divsChild>
                                <w:div w:id="451366797">
                                  <w:marLeft w:val="0"/>
                                  <w:marRight w:val="0"/>
                                  <w:marTop w:val="0"/>
                                  <w:marBottom w:val="0"/>
                                  <w:divBdr>
                                    <w:top w:val="none" w:sz="0" w:space="0" w:color="auto"/>
                                    <w:left w:val="none" w:sz="0" w:space="0" w:color="auto"/>
                                    <w:bottom w:val="none" w:sz="0" w:space="0" w:color="auto"/>
                                    <w:right w:val="none" w:sz="0" w:space="0" w:color="auto"/>
                                  </w:divBdr>
                                  <w:divsChild>
                                    <w:div w:id="12902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5190374">
      <w:bodyDiv w:val="1"/>
      <w:marLeft w:val="0"/>
      <w:marRight w:val="0"/>
      <w:marTop w:val="0"/>
      <w:marBottom w:val="0"/>
      <w:divBdr>
        <w:top w:val="none" w:sz="0" w:space="0" w:color="auto"/>
        <w:left w:val="none" w:sz="0" w:space="0" w:color="auto"/>
        <w:bottom w:val="none" w:sz="0" w:space="0" w:color="auto"/>
        <w:right w:val="none" w:sz="0" w:space="0" w:color="auto"/>
      </w:divBdr>
    </w:div>
    <w:div w:id="1950234207">
      <w:bodyDiv w:val="1"/>
      <w:marLeft w:val="0"/>
      <w:marRight w:val="0"/>
      <w:marTop w:val="0"/>
      <w:marBottom w:val="0"/>
      <w:divBdr>
        <w:top w:val="none" w:sz="0" w:space="0" w:color="auto"/>
        <w:left w:val="none" w:sz="0" w:space="0" w:color="auto"/>
        <w:bottom w:val="none" w:sz="0" w:space="0" w:color="auto"/>
        <w:right w:val="none" w:sz="0" w:space="0" w:color="auto"/>
      </w:divBdr>
    </w:div>
    <w:div w:id="1952666980">
      <w:bodyDiv w:val="1"/>
      <w:marLeft w:val="0"/>
      <w:marRight w:val="0"/>
      <w:marTop w:val="0"/>
      <w:marBottom w:val="0"/>
      <w:divBdr>
        <w:top w:val="none" w:sz="0" w:space="0" w:color="auto"/>
        <w:left w:val="none" w:sz="0" w:space="0" w:color="auto"/>
        <w:bottom w:val="none" w:sz="0" w:space="0" w:color="auto"/>
        <w:right w:val="none" w:sz="0" w:space="0" w:color="auto"/>
      </w:divBdr>
    </w:div>
    <w:div w:id="1957447171">
      <w:bodyDiv w:val="1"/>
      <w:marLeft w:val="0"/>
      <w:marRight w:val="0"/>
      <w:marTop w:val="0"/>
      <w:marBottom w:val="0"/>
      <w:divBdr>
        <w:top w:val="none" w:sz="0" w:space="0" w:color="auto"/>
        <w:left w:val="none" w:sz="0" w:space="0" w:color="auto"/>
        <w:bottom w:val="none" w:sz="0" w:space="0" w:color="auto"/>
        <w:right w:val="none" w:sz="0" w:space="0" w:color="auto"/>
      </w:divBdr>
    </w:div>
    <w:div w:id="1986742675">
      <w:bodyDiv w:val="1"/>
      <w:marLeft w:val="0"/>
      <w:marRight w:val="0"/>
      <w:marTop w:val="0"/>
      <w:marBottom w:val="0"/>
      <w:divBdr>
        <w:top w:val="none" w:sz="0" w:space="0" w:color="auto"/>
        <w:left w:val="none" w:sz="0" w:space="0" w:color="auto"/>
        <w:bottom w:val="none" w:sz="0" w:space="0" w:color="auto"/>
        <w:right w:val="none" w:sz="0" w:space="0" w:color="auto"/>
      </w:divBdr>
    </w:div>
    <w:div w:id="2009795585">
      <w:bodyDiv w:val="1"/>
      <w:marLeft w:val="0"/>
      <w:marRight w:val="0"/>
      <w:marTop w:val="0"/>
      <w:marBottom w:val="0"/>
      <w:divBdr>
        <w:top w:val="none" w:sz="0" w:space="0" w:color="auto"/>
        <w:left w:val="none" w:sz="0" w:space="0" w:color="auto"/>
        <w:bottom w:val="none" w:sz="0" w:space="0" w:color="auto"/>
        <w:right w:val="none" w:sz="0" w:space="0" w:color="auto"/>
      </w:divBdr>
    </w:div>
    <w:div w:id="2026859406">
      <w:bodyDiv w:val="1"/>
      <w:marLeft w:val="0"/>
      <w:marRight w:val="0"/>
      <w:marTop w:val="0"/>
      <w:marBottom w:val="0"/>
      <w:divBdr>
        <w:top w:val="none" w:sz="0" w:space="0" w:color="auto"/>
        <w:left w:val="none" w:sz="0" w:space="0" w:color="auto"/>
        <w:bottom w:val="none" w:sz="0" w:space="0" w:color="auto"/>
        <w:right w:val="none" w:sz="0" w:space="0" w:color="auto"/>
      </w:divBdr>
    </w:div>
    <w:div w:id="2034109129">
      <w:bodyDiv w:val="1"/>
      <w:marLeft w:val="0"/>
      <w:marRight w:val="0"/>
      <w:marTop w:val="0"/>
      <w:marBottom w:val="0"/>
      <w:divBdr>
        <w:top w:val="none" w:sz="0" w:space="0" w:color="auto"/>
        <w:left w:val="none" w:sz="0" w:space="0" w:color="auto"/>
        <w:bottom w:val="none" w:sz="0" w:space="0" w:color="auto"/>
        <w:right w:val="none" w:sz="0" w:space="0" w:color="auto"/>
      </w:divBdr>
    </w:div>
    <w:div w:id="2067218125">
      <w:bodyDiv w:val="1"/>
      <w:marLeft w:val="0"/>
      <w:marRight w:val="0"/>
      <w:marTop w:val="0"/>
      <w:marBottom w:val="0"/>
      <w:divBdr>
        <w:top w:val="none" w:sz="0" w:space="0" w:color="auto"/>
        <w:left w:val="none" w:sz="0" w:space="0" w:color="auto"/>
        <w:bottom w:val="none" w:sz="0" w:space="0" w:color="auto"/>
        <w:right w:val="none" w:sz="0" w:space="0" w:color="auto"/>
      </w:divBdr>
    </w:div>
    <w:div w:id="2131511547">
      <w:bodyDiv w:val="1"/>
      <w:marLeft w:val="0"/>
      <w:marRight w:val="0"/>
      <w:marTop w:val="0"/>
      <w:marBottom w:val="0"/>
      <w:divBdr>
        <w:top w:val="none" w:sz="0" w:space="0" w:color="auto"/>
        <w:left w:val="none" w:sz="0" w:space="0" w:color="auto"/>
        <w:bottom w:val="none" w:sz="0" w:space="0" w:color="auto"/>
        <w:right w:val="none" w:sz="0" w:space="0" w:color="auto"/>
      </w:divBdr>
    </w:div>
    <w:div w:id="2141532369">
      <w:bodyDiv w:val="1"/>
      <w:marLeft w:val="0"/>
      <w:marRight w:val="0"/>
      <w:marTop w:val="0"/>
      <w:marBottom w:val="0"/>
      <w:divBdr>
        <w:top w:val="none" w:sz="0" w:space="0" w:color="auto"/>
        <w:left w:val="none" w:sz="0" w:space="0" w:color="auto"/>
        <w:bottom w:val="none" w:sz="0" w:space="0" w:color="auto"/>
        <w:right w:val="none" w:sz="0" w:space="0" w:color="auto"/>
      </w:divBdr>
    </w:div>
    <w:div w:id="214495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customXml" Target="../customXml/item2.xml"/><Relationship Id="rId16" Type="http://schemas.openxmlformats.org/officeDocument/2006/relationships/image" Target="media/image8.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_rels/header2.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2011-03-31T00:00:00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EFFAC0-639F-4CC5-900F-6910197E6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26</Pages>
  <Words>6812</Words>
  <Characters>38833</Characters>
  <Application>Microsoft Office Word</Application>
  <DocSecurity>0</DocSecurity>
  <Lines>323</Lines>
  <Paragraphs>91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Avance de Resultados 4T 2010</vt:lpstr>
      <vt:lpstr>Avance de Resultados 4T 2010</vt:lpstr>
    </vt:vector>
  </TitlesOfParts>
  <Company>RepsolYPF</Company>
  <LinksUpToDate>false</LinksUpToDate>
  <CharactersWithSpaces>45554</CharactersWithSpaces>
  <SharedDoc>false</SharedDoc>
  <HLinks>
    <vt:vector size="78" baseType="variant">
      <vt:variant>
        <vt:i4>1179707</vt:i4>
      </vt:variant>
      <vt:variant>
        <vt:i4>77</vt:i4>
      </vt:variant>
      <vt:variant>
        <vt:i4>0</vt:i4>
      </vt:variant>
      <vt:variant>
        <vt:i4>5</vt:i4>
      </vt:variant>
      <vt:variant>
        <vt:lpwstr/>
      </vt:variant>
      <vt:variant>
        <vt:lpwstr>_Toc331003955</vt:lpwstr>
      </vt:variant>
      <vt:variant>
        <vt:i4>1179707</vt:i4>
      </vt:variant>
      <vt:variant>
        <vt:i4>71</vt:i4>
      </vt:variant>
      <vt:variant>
        <vt:i4>0</vt:i4>
      </vt:variant>
      <vt:variant>
        <vt:i4>5</vt:i4>
      </vt:variant>
      <vt:variant>
        <vt:lpwstr/>
      </vt:variant>
      <vt:variant>
        <vt:lpwstr>_Toc331003954</vt:lpwstr>
      </vt:variant>
      <vt:variant>
        <vt:i4>1179707</vt:i4>
      </vt:variant>
      <vt:variant>
        <vt:i4>65</vt:i4>
      </vt:variant>
      <vt:variant>
        <vt:i4>0</vt:i4>
      </vt:variant>
      <vt:variant>
        <vt:i4>5</vt:i4>
      </vt:variant>
      <vt:variant>
        <vt:lpwstr/>
      </vt:variant>
      <vt:variant>
        <vt:lpwstr>_Toc331003953</vt:lpwstr>
      </vt:variant>
      <vt:variant>
        <vt:i4>1179707</vt:i4>
      </vt:variant>
      <vt:variant>
        <vt:i4>62</vt:i4>
      </vt:variant>
      <vt:variant>
        <vt:i4>0</vt:i4>
      </vt:variant>
      <vt:variant>
        <vt:i4>5</vt:i4>
      </vt:variant>
      <vt:variant>
        <vt:lpwstr/>
      </vt:variant>
      <vt:variant>
        <vt:lpwstr>_Toc331003952</vt:lpwstr>
      </vt:variant>
      <vt:variant>
        <vt:i4>1179707</vt:i4>
      </vt:variant>
      <vt:variant>
        <vt:i4>59</vt:i4>
      </vt:variant>
      <vt:variant>
        <vt:i4>0</vt:i4>
      </vt:variant>
      <vt:variant>
        <vt:i4>5</vt:i4>
      </vt:variant>
      <vt:variant>
        <vt:lpwstr/>
      </vt:variant>
      <vt:variant>
        <vt:lpwstr>_Toc331003950</vt:lpwstr>
      </vt:variant>
      <vt:variant>
        <vt:i4>1179707</vt:i4>
      </vt:variant>
      <vt:variant>
        <vt:i4>56</vt:i4>
      </vt:variant>
      <vt:variant>
        <vt:i4>0</vt:i4>
      </vt:variant>
      <vt:variant>
        <vt:i4>5</vt:i4>
      </vt:variant>
      <vt:variant>
        <vt:lpwstr/>
      </vt:variant>
      <vt:variant>
        <vt:lpwstr>_Toc331003950</vt:lpwstr>
      </vt:variant>
      <vt:variant>
        <vt:i4>1179707</vt:i4>
      </vt:variant>
      <vt:variant>
        <vt:i4>53</vt:i4>
      </vt:variant>
      <vt:variant>
        <vt:i4>0</vt:i4>
      </vt:variant>
      <vt:variant>
        <vt:i4>5</vt:i4>
      </vt:variant>
      <vt:variant>
        <vt:lpwstr/>
      </vt:variant>
      <vt:variant>
        <vt:lpwstr>_Toc331003950</vt:lpwstr>
      </vt:variant>
      <vt:variant>
        <vt:i4>1245243</vt:i4>
      </vt:variant>
      <vt:variant>
        <vt:i4>50</vt:i4>
      </vt:variant>
      <vt:variant>
        <vt:i4>0</vt:i4>
      </vt:variant>
      <vt:variant>
        <vt:i4>5</vt:i4>
      </vt:variant>
      <vt:variant>
        <vt:lpwstr/>
      </vt:variant>
      <vt:variant>
        <vt:lpwstr>_Toc331003948</vt:lpwstr>
      </vt:variant>
      <vt:variant>
        <vt:i4>1245243</vt:i4>
      </vt:variant>
      <vt:variant>
        <vt:i4>41</vt:i4>
      </vt:variant>
      <vt:variant>
        <vt:i4>0</vt:i4>
      </vt:variant>
      <vt:variant>
        <vt:i4>5</vt:i4>
      </vt:variant>
      <vt:variant>
        <vt:lpwstr/>
      </vt:variant>
      <vt:variant>
        <vt:lpwstr>_Toc331003948</vt:lpwstr>
      </vt:variant>
      <vt:variant>
        <vt:i4>1245243</vt:i4>
      </vt:variant>
      <vt:variant>
        <vt:i4>32</vt:i4>
      </vt:variant>
      <vt:variant>
        <vt:i4>0</vt:i4>
      </vt:variant>
      <vt:variant>
        <vt:i4>5</vt:i4>
      </vt:variant>
      <vt:variant>
        <vt:lpwstr/>
      </vt:variant>
      <vt:variant>
        <vt:lpwstr>_Toc331003947</vt:lpwstr>
      </vt:variant>
      <vt:variant>
        <vt:i4>1245243</vt:i4>
      </vt:variant>
      <vt:variant>
        <vt:i4>23</vt:i4>
      </vt:variant>
      <vt:variant>
        <vt:i4>0</vt:i4>
      </vt:variant>
      <vt:variant>
        <vt:i4>5</vt:i4>
      </vt:variant>
      <vt:variant>
        <vt:lpwstr/>
      </vt:variant>
      <vt:variant>
        <vt:lpwstr>_Toc331003946</vt:lpwstr>
      </vt:variant>
      <vt:variant>
        <vt:i4>1245243</vt:i4>
      </vt:variant>
      <vt:variant>
        <vt:i4>14</vt:i4>
      </vt:variant>
      <vt:variant>
        <vt:i4>0</vt:i4>
      </vt:variant>
      <vt:variant>
        <vt:i4>5</vt:i4>
      </vt:variant>
      <vt:variant>
        <vt:lpwstr/>
      </vt:variant>
      <vt:variant>
        <vt:lpwstr>_Toc331003945</vt:lpwstr>
      </vt:variant>
      <vt:variant>
        <vt:i4>1245243</vt:i4>
      </vt:variant>
      <vt:variant>
        <vt:i4>2</vt:i4>
      </vt:variant>
      <vt:variant>
        <vt:i4>0</vt:i4>
      </vt:variant>
      <vt:variant>
        <vt:i4>5</vt:i4>
      </vt:variant>
      <vt:variant>
        <vt:lpwstr/>
      </vt:variant>
      <vt:variant>
        <vt:lpwstr>_Toc331003944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Avance de Resultados 4T 2010</dc:title>
  <dc:creator>CALDERONE, PABLO MARTIN</dc:creator>
  <cp:lastModifiedBy>VOLMAN, CAROLINA DAIANA</cp:lastModifiedBy>
  <cp:revision>6</cp:revision>
  <cp:lastPrinted>2019-08-06T12:43:00Z</cp:lastPrinted>
  <dcterms:created xsi:type="dcterms:W3CDTF">2019-08-07T12:41:00Z</dcterms:created>
  <dcterms:modified xsi:type="dcterms:W3CDTF">2019-08-07T19:47:00Z</dcterms:modified>
</cp:coreProperties>
</file>